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江西工业贸易职业技术学院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采购工作考核内容及评分标准（试行）</w:t>
      </w:r>
    </w:p>
    <w:tbl>
      <w:tblPr>
        <w:tblStyle w:val="5"/>
        <w:tblW w:w="1541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5"/>
        <w:gridCol w:w="1983"/>
        <w:gridCol w:w="5126"/>
        <w:gridCol w:w="686"/>
        <w:gridCol w:w="4468"/>
        <w:gridCol w:w="13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Header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考核项目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考核内容</w:t>
            </w:r>
          </w:p>
        </w:tc>
        <w:tc>
          <w:tcPr>
            <w:tcW w:w="5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评分标准和细则</w:t>
            </w:r>
          </w:p>
        </w:tc>
        <w:tc>
          <w:tcPr>
            <w:tcW w:w="6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分值</w:t>
            </w:r>
          </w:p>
        </w:tc>
        <w:tc>
          <w:tcPr>
            <w:tcW w:w="4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考核评价评分</w:t>
            </w:r>
          </w:p>
        </w:tc>
        <w:tc>
          <w:tcPr>
            <w:tcW w:w="130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责任制度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确定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部门</w:t>
            </w:r>
            <w:r>
              <w:rPr>
                <w:rFonts w:hint="eastAsia" w:asciiTheme="minorEastAsia" w:hAnsiTheme="minorEastAsia"/>
                <w:szCs w:val="21"/>
              </w:rPr>
              <w:t>采购工作领导和工作人员</w:t>
            </w:r>
          </w:p>
        </w:tc>
        <w:tc>
          <w:tcPr>
            <w:tcW w:w="5126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是否确定了采购工作的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部门</w:t>
            </w:r>
            <w:r>
              <w:rPr>
                <w:rFonts w:hint="eastAsia" w:asciiTheme="minorEastAsia" w:hAnsiTheme="minorEastAsia"/>
                <w:szCs w:val="21"/>
              </w:rPr>
              <w:t>领导（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分）和工作人员（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每存在1项否项，扣相应分值，最多扣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相关制度</w:t>
            </w:r>
          </w:p>
        </w:tc>
        <w:tc>
          <w:tcPr>
            <w:tcW w:w="5126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是否有相关采购制度（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每存在1项否项，扣相应分值，最多扣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档案管理</w:t>
            </w: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采购项目存档文件是否齐全（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每存在1项否项，扣相应分值，最多扣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项目预算、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报送、审批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分）</w:t>
            </w:r>
          </w:p>
        </w:tc>
        <w:tc>
          <w:tcPr>
            <w:tcW w:w="198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采购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预算</w:t>
            </w: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采购项目是否年初有预算（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分），预算项目是否有明确的采购项目经费（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每存在1项否项，扣1分，最多扣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项目采购报送时间</w:t>
            </w:r>
          </w:p>
        </w:tc>
        <w:tc>
          <w:tcPr>
            <w:tcW w:w="5126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上年度</w:t>
            </w:r>
            <w:r>
              <w:rPr>
                <w:rFonts w:hint="eastAsia" w:asciiTheme="minorEastAsia" w:hAnsiTheme="minorEastAsia"/>
                <w:szCs w:val="21"/>
              </w:rPr>
              <w:t>政府采购项目是否在每年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月3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日之前将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项目可行性论证报告和项目建设方案提交学院办公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OA系统并履行完审批程序。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每存在1项否项，扣1分，最多扣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部门自行采购项目审批</w:t>
            </w: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采购金额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万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元及</w:t>
            </w:r>
            <w:r>
              <w:rPr>
                <w:rFonts w:hint="eastAsia" w:asciiTheme="minorEastAsia" w:hAnsiTheme="minorEastAsia"/>
                <w:szCs w:val="21"/>
              </w:rPr>
              <w:t>以上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的部门自行采购项目是否提交资产管理处询价后开展采购工作（电子卖场采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eastAsia="zh-CN"/>
              </w:rPr>
              <w:t>购除外）。（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每存在1项否项，扣1分，最多扣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耗材</w:t>
            </w:r>
            <w:r>
              <w:rPr>
                <w:rFonts w:hint="eastAsia" w:asciiTheme="minorEastAsia" w:hAnsiTheme="minorEastAsia"/>
                <w:szCs w:val="21"/>
              </w:rPr>
              <w:t>采购项目是否在每个工作月20-25日集中申报一次（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每存在1项否项，扣1分，最多扣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论证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  <w:tc>
          <w:tcPr>
            <w:tcW w:w="19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按要求进行可行性论证</w:t>
            </w: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按《学院采购管理办法》和《学院采购管理办法补充规定》开展项目论证工作。（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招标文件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50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分）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技术参数、商务要求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、供应商资格条件、评分标准和办法</w:t>
            </w:r>
          </w:p>
        </w:tc>
        <w:tc>
          <w:tcPr>
            <w:tcW w:w="5126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是否以各种方式和理由在招标文件中指定或变相指定品牌、型号、产地（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Cs w:val="21"/>
              </w:rPr>
              <w:t>不违规得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分，违规全年为0分，并限期整改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是否以供应商产品独一无二的技术参数、性能指数作为实质性响应内容（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Cs w:val="21"/>
              </w:rPr>
              <w:t>不违规得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分，违规全年为0分，并限期整改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是否照抄照搬个别供应商产品的技术参数、性能指数作为实质性响应内容（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Cs w:val="21"/>
              </w:rPr>
              <w:t>不违规得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分，违规全年为0分，并限期整改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是否将特定行政区域或者特定行业的业绩、奖项作为加分条件或者中标、成交条件（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Cs w:val="21"/>
              </w:rPr>
              <w:t>不违规得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分，违规全年为0分，并限期整改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是否有倾向性、排斥性，是否将供应商资格条件列为或变相列为评分因素（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Cs w:val="21"/>
              </w:rPr>
              <w:t>不违规得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分，违规全年为0分，并限期整改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是否存在因技术参数、性能指数指向性原因导到二次及以上次数流标的项目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Cs w:val="21"/>
              </w:rPr>
              <w:t>不违规得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分，违规全年为0分，并限期整改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资产管理处应同时扣除该分值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招标文件其他要求</w:t>
            </w: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编制的招标文件是否符合学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院</w:t>
            </w:r>
            <w:r>
              <w:rPr>
                <w:rFonts w:hint="eastAsia" w:asciiTheme="minorEastAsia" w:hAnsiTheme="minorEastAsia"/>
                <w:szCs w:val="21"/>
              </w:rPr>
              <w:t>的规定，签字手续是否齐全（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每存在1项否项，扣1分，最多扣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是否积极配合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资产管理处</w:t>
            </w:r>
            <w:r>
              <w:rPr>
                <w:rFonts w:hint="eastAsia" w:asciiTheme="minorEastAsia" w:hAnsiTheme="minorEastAsia"/>
                <w:szCs w:val="21"/>
              </w:rPr>
              <w:t>编制招标文件（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扣相应分值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合同的主要条款是否在招标文件中体现（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扣相应分值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135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采购合同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分）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采购合同的完整性、合理性、合规性</w:t>
            </w: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是否根据招标项目的特点和需求编制相应的合同条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款，并在中标结果公示之日起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/>
                <w:szCs w:val="21"/>
              </w:rPr>
              <w:t>日内将合同草案报送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资产管理处</w:t>
            </w:r>
            <w:r>
              <w:rPr>
                <w:rFonts w:hint="eastAsia" w:asciiTheme="minorEastAsia" w:hAnsiTheme="minorEastAsia"/>
                <w:szCs w:val="21"/>
              </w:rPr>
              <w:t>（由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资产管理处</w:t>
            </w:r>
            <w:r>
              <w:rPr>
                <w:rFonts w:hint="eastAsia" w:asciiTheme="minorEastAsia" w:hAnsiTheme="minorEastAsia"/>
                <w:szCs w:val="21"/>
              </w:rPr>
              <w:t>与中标商签订合同项目）（2分）、政采项目是否在中标通知书发出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Cs w:val="21"/>
              </w:rPr>
              <w:t>日内与中标商签订采购合同并在2日内报送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资产管理处</w:t>
            </w:r>
            <w:r>
              <w:rPr>
                <w:rFonts w:hint="eastAsia" w:asciiTheme="minorEastAsia" w:hAnsiTheme="minorEastAsia"/>
                <w:szCs w:val="21"/>
              </w:rPr>
              <w:t>在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江西省公共资源网</w:t>
            </w:r>
            <w:r>
              <w:rPr>
                <w:rFonts w:hint="eastAsia" w:asciiTheme="minorEastAsia" w:hAnsiTheme="minorEastAsia"/>
                <w:szCs w:val="21"/>
              </w:rPr>
              <w:t>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发布</w:t>
            </w:r>
            <w:r>
              <w:rPr>
                <w:rFonts w:hint="eastAsia" w:asciiTheme="minorEastAsia" w:hAnsiTheme="minorEastAsia"/>
                <w:szCs w:val="21"/>
              </w:rPr>
              <w:t>公告和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办理</w:t>
            </w:r>
            <w:r>
              <w:rPr>
                <w:rFonts w:hint="eastAsia" w:asciiTheme="minorEastAsia" w:hAnsiTheme="minorEastAsia"/>
                <w:szCs w:val="21"/>
              </w:rPr>
              <w:t>备案（由使用单位与中标商签订合同项目）（2分）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每存在1项否项，扣1分，最多扣4分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编制的采购合同相关条款是否符合学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院</w:t>
            </w:r>
            <w:r>
              <w:rPr>
                <w:rFonts w:hint="eastAsia" w:asciiTheme="minorEastAsia" w:hAnsiTheme="minorEastAsia"/>
                <w:szCs w:val="21"/>
              </w:rPr>
              <w:t>的规定，签字手续是否齐全（2分）</w:t>
            </w:r>
          </w:p>
        </w:tc>
        <w:tc>
          <w:tcPr>
            <w:tcW w:w="68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每存在1项否项，扣1分，最多扣2分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是否积极配合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资产管理处</w:t>
            </w:r>
            <w:r>
              <w:rPr>
                <w:rFonts w:hint="eastAsia" w:asciiTheme="minorEastAsia" w:hAnsiTheme="minorEastAsia"/>
                <w:szCs w:val="21"/>
              </w:rPr>
              <w:t>编制项目采购合同（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扣相应分值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合同主要条款是否有明确的履约时间、方式、质量要求、验收标准、付款时间及方式（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否项</w:t>
            </w:r>
            <w:r>
              <w:rPr>
                <w:rFonts w:hint="eastAsia" w:asciiTheme="minorEastAsia" w:hAnsiTheme="minorEastAsia"/>
                <w:szCs w:val="21"/>
              </w:rPr>
              <w:t>，扣相应分值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投诉和举报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  <w:tc>
          <w:tcPr>
            <w:tcW w:w="19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有效投诉和举报的件数</w:t>
            </w: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是否因技术参数、评分标准、商务服务要求被供应商提出有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效</w:t>
            </w:r>
            <w:r>
              <w:rPr>
                <w:rFonts w:hint="eastAsia" w:asciiTheme="minorEastAsia" w:hAnsiTheme="minorEastAsia"/>
                <w:szCs w:val="21"/>
              </w:rPr>
              <w:t>投诉（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分）和举报（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否项</w:t>
            </w:r>
            <w:r>
              <w:rPr>
                <w:rFonts w:hint="eastAsia" w:asciiTheme="minorEastAsia" w:hAnsiTheme="minorEastAsia"/>
                <w:szCs w:val="21"/>
              </w:rPr>
              <w:t>，扣相应分值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询问、质疑、投诉和举报处理的合法合理性</w:t>
            </w: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是否在收到对招标项目的技术参数、评分标准和商务服务要求遭询问、质疑、投诉和举报相关函件后3个工作日内作出书面答复（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每存在1项否项，扣1分，最多扣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其他采购相关工作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分）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采购工作其他事项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是否存在部门化整为零、规避招标的行为（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不违规得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分，违规全年为0分，并限期整改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是否积极配合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资产管理处</w:t>
            </w:r>
            <w:r>
              <w:rPr>
                <w:rFonts w:hint="eastAsia" w:asciiTheme="minorEastAsia" w:hAnsiTheme="minorEastAsia"/>
                <w:szCs w:val="21"/>
              </w:rPr>
              <w:t>安排本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部门</w:t>
            </w:r>
            <w:r>
              <w:rPr>
                <w:rFonts w:hint="eastAsia" w:asciiTheme="minorEastAsia" w:hAnsiTheme="minorEastAsia"/>
                <w:szCs w:val="21"/>
              </w:rPr>
              <w:t>人员参与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采购</w:t>
            </w:r>
            <w:r>
              <w:rPr>
                <w:rFonts w:hint="eastAsia" w:asciiTheme="minorEastAsia" w:hAnsiTheme="minorEastAsia"/>
                <w:szCs w:val="21"/>
              </w:rPr>
              <w:t>工作（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每存在1项否项，扣相应分值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是否积极配合监督部门接受监督检查（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每存在1项否项，扣相应分值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是否积极参加学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院</w:t>
            </w:r>
            <w:r>
              <w:rPr>
                <w:rFonts w:hint="eastAsia" w:asciiTheme="minorEastAsia" w:hAnsiTheme="minorEastAsia"/>
                <w:szCs w:val="21"/>
              </w:rPr>
              <w:t>安排的采购业务培训（1分）</w:t>
            </w:r>
          </w:p>
        </w:tc>
        <w:tc>
          <w:tcPr>
            <w:tcW w:w="68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每存在1项否项，扣相应分值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r>
        <w:rPr>
          <w:rFonts w:hint="eastAsia"/>
        </w:rPr>
        <w:t>注：编制的招标文件因技术参数或评分标准被供应商投诉和举报，受到省财政厅处罚的为0分，并全</w:t>
      </w:r>
      <w:r>
        <w:rPr>
          <w:rFonts w:hint="eastAsia"/>
          <w:lang w:eastAsia="zh-CN"/>
        </w:rPr>
        <w:t>院</w:t>
      </w:r>
      <w:r>
        <w:rPr>
          <w:rFonts w:hint="eastAsia"/>
        </w:rPr>
        <w:t>通报</w:t>
      </w:r>
      <w:r>
        <w:rPr>
          <w:rFonts w:hint="eastAsia"/>
          <w:lang w:eastAsia="zh-CN"/>
        </w:rPr>
        <w:t>；</w:t>
      </w:r>
      <w:r>
        <w:rPr>
          <w:rFonts w:hint="eastAsia"/>
        </w:rPr>
        <w:t>移交纪委、监察的，按纪委、监察处理的结果执行。</w:t>
      </w:r>
    </w:p>
    <w:sectPr>
      <w:footerReference r:id="rId3" w:type="default"/>
      <w:pgSz w:w="16838" w:h="11906" w:orient="landscape"/>
      <w:pgMar w:top="1191" w:right="964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yMTIxMzBmMzE4YWExNzQzMmI5MzczZjRkMTMxZDgifQ=="/>
  </w:docVars>
  <w:rsids>
    <w:rsidRoot w:val="00DF1FB5"/>
    <w:rsid w:val="00003354"/>
    <w:rsid w:val="00053DAC"/>
    <w:rsid w:val="000B2FEF"/>
    <w:rsid w:val="000C37BC"/>
    <w:rsid w:val="000C45E7"/>
    <w:rsid w:val="000D58FE"/>
    <w:rsid w:val="001128F7"/>
    <w:rsid w:val="00143881"/>
    <w:rsid w:val="00144E67"/>
    <w:rsid w:val="00152381"/>
    <w:rsid w:val="00160F49"/>
    <w:rsid w:val="00181F6D"/>
    <w:rsid w:val="001B1928"/>
    <w:rsid w:val="001E6408"/>
    <w:rsid w:val="0021462D"/>
    <w:rsid w:val="00226B65"/>
    <w:rsid w:val="00235E2D"/>
    <w:rsid w:val="00251288"/>
    <w:rsid w:val="00252930"/>
    <w:rsid w:val="002A5A37"/>
    <w:rsid w:val="00334034"/>
    <w:rsid w:val="00341283"/>
    <w:rsid w:val="0038115C"/>
    <w:rsid w:val="00391B21"/>
    <w:rsid w:val="003F2D0C"/>
    <w:rsid w:val="00412D87"/>
    <w:rsid w:val="00424B5F"/>
    <w:rsid w:val="00437291"/>
    <w:rsid w:val="00457A47"/>
    <w:rsid w:val="004611B8"/>
    <w:rsid w:val="004633B8"/>
    <w:rsid w:val="004E47F4"/>
    <w:rsid w:val="005312D5"/>
    <w:rsid w:val="00581948"/>
    <w:rsid w:val="005B0CCB"/>
    <w:rsid w:val="005B1547"/>
    <w:rsid w:val="005F7937"/>
    <w:rsid w:val="006E1452"/>
    <w:rsid w:val="007002DC"/>
    <w:rsid w:val="007014F6"/>
    <w:rsid w:val="0073247C"/>
    <w:rsid w:val="007554CC"/>
    <w:rsid w:val="007A4972"/>
    <w:rsid w:val="007C258D"/>
    <w:rsid w:val="007C69A9"/>
    <w:rsid w:val="00825424"/>
    <w:rsid w:val="008421C3"/>
    <w:rsid w:val="00863E7F"/>
    <w:rsid w:val="00887873"/>
    <w:rsid w:val="008E160B"/>
    <w:rsid w:val="008E1C35"/>
    <w:rsid w:val="00937709"/>
    <w:rsid w:val="009505BF"/>
    <w:rsid w:val="009C5A85"/>
    <w:rsid w:val="009E47D8"/>
    <w:rsid w:val="009F4858"/>
    <w:rsid w:val="00A0768A"/>
    <w:rsid w:val="00A8582B"/>
    <w:rsid w:val="00AB2E27"/>
    <w:rsid w:val="00B12D08"/>
    <w:rsid w:val="00BB13F1"/>
    <w:rsid w:val="00BF55AD"/>
    <w:rsid w:val="00C31860"/>
    <w:rsid w:val="00C3697E"/>
    <w:rsid w:val="00C4788D"/>
    <w:rsid w:val="00C65FBD"/>
    <w:rsid w:val="00C72B71"/>
    <w:rsid w:val="00C855F1"/>
    <w:rsid w:val="00CB3493"/>
    <w:rsid w:val="00CB3AFE"/>
    <w:rsid w:val="00CE7703"/>
    <w:rsid w:val="00D65D9B"/>
    <w:rsid w:val="00DF1FB5"/>
    <w:rsid w:val="00E205F9"/>
    <w:rsid w:val="00E267E4"/>
    <w:rsid w:val="00E91BA3"/>
    <w:rsid w:val="00EC56C5"/>
    <w:rsid w:val="00ED2601"/>
    <w:rsid w:val="00EE3A55"/>
    <w:rsid w:val="00EF32BD"/>
    <w:rsid w:val="00EF3E77"/>
    <w:rsid w:val="00F137E2"/>
    <w:rsid w:val="00F13EBF"/>
    <w:rsid w:val="00F325D7"/>
    <w:rsid w:val="00F97DC7"/>
    <w:rsid w:val="00FF544B"/>
    <w:rsid w:val="0AFA5870"/>
    <w:rsid w:val="0EBE34C0"/>
    <w:rsid w:val="177B6E57"/>
    <w:rsid w:val="18B82C9C"/>
    <w:rsid w:val="1CF365C5"/>
    <w:rsid w:val="1E5A2124"/>
    <w:rsid w:val="1FE627A2"/>
    <w:rsid w:val="27266006"/>
    <w:rsid w:val="2C3C30AD"/>
    <w:rsid w:val="45997E17"/>
    <w:rsid w:val="521D477A"/>
    <w:rsid w:val="54C65EB4"/>
    <w:rsid w:val="700836A3"/>
    <w:rsid w:val="7391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1853</Words>
  <Characters>1867</Characters>
  <Lines>18</Lines>
  <Paragraphs>5</Paragraphs>
  <TotalTime>233</TotalTime>
  <ScaleCrop>false</ScaleCrop>
  <LinksUpToDate>false</LinksUpToDate>
  <CharactersWithSpaces>1867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2017-02-12T08:48:00Z</dcterms:created>
  <dc:creator>ad</dc:creator>
  <cp:lastModifiedBy>jxgm</cp:lastModifiedBy>
  <cp:lastPrinted>2023-09-05T09:42:30Z</cp:lastPrinted>
  <dcterms:modified xsi:type="dcterms:W3CDTF">2023-09-05T09:47:29Z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A4881C4E503C4622B4EBB6321A3B3276_12</vt:lpwstr>
  </property>
</Properties>
</file>