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val="0"/>
        <w:autoSpaceDN w:val="0"/>
        <w:bidi w:val="0"/>
        <w:adjustRightInd w:val="0"/>
        <w:snapToGrid/>
        <w:spacing w:line="580" w:lineRule="exact"/>
        <w:jc w:val="center"/>
        <w:textAlignment w:val="auto"/>
        <w:rPr>
          <w:rFonts w:hint="eastAsia" w:ascii="方正小标宋简体" w:hAnsi="方正小标宋简体" w:eastAsia="方正小标宋简体" w:cs="方正小标宋简体"/>
          <w:sz w:val="44"/>
          <w:szCs w:val="44"/>
          <w:u w:val="none" w:color="auto"/>
        </w:rPr>
      </w:pPr>
      <w:r>
        <w:rPr>
          <w:rFonts w:hint="eastAsia" w:ascii="方正小标宋简体" w:hAnsi="方正小标宋简体" w:eastAsia="方正小标宋简体" w:cs="方正小标宋简体"/>
          <w:sz w:val="44"/>
          <w:szCs w:val="44"/>
          <w:u w:val="none" w:color="auto"/>
        </w:rPr>
        <w:t>江西工业贸易职业技术学院国有资产</w:t>
      </w:r>
    </w:p>
    <w:p>
      <w:pPr>
        <w:keepNext w:val="0"/>
        <w:keepLines w:val="0"/>
        <w:pageBreakBefore w:val="0"/>
        <w:widowControl w:val="0"/>
        <w:kinsoku/>
        <w:wordWrap/>
        <w:overflowPunct/>
        <w:topLinePunct w:val="0"/>
        <w:autoSpaceDE w:val="0"/>
        <w:autoSpaceDN w:val="0"/>
        <w:bidi w:val="0"/>
        <w:adjustRightInd w:val="0"/>
        <w:snapToGrid/>
        <w:spacing w:line="580" w:lineRule="exact"/>
        <w:jc w:val="center"/>
        <w:textAlignment w:val="auto"/>
        <w:rPr>
          <w:rFonts w:hint="eastAsia" w:ascii="方正小标宋简体" w:hAnsi="方正小标宋简体" w:eastAsia="方正小标宋简体" w:cs="方正小标宋简体"/>
          <w:sz w:val="44"/>
          <w:szCs w:val="44"/>
          <w:u w:val="none" w:color="auto"/>
        </w:rPr>
      </w:pPr>
      <w:r>
        <w:rPr>
          <w:rFonts w:hint="eastAsia" w:ascii="方正小标宋简体" w:hAnsi="方正小标宋简体" w:eastAsia="方正小标宋简体" w:cs="方正小标宋简体"/>
          <w:sz w:val="44"/>
          <w:szCs w:val="44"/>
          <w:u w:val="none" w:color="auto"/>
        </w:rPr>
        <w:t>管理办法</w:t>
      </w:r>
    </w:p>
    <w:p>
      <w:pPr>
        <w:keepNext w:val="0"/>
        <w:keepLines w:val="0"/>
        <w:pageBreakBefore w:val="0"/>
        <w:numPr>
          <w:ilvl w:val="0"/>
          <w:numId w:val="0"/>
        </w:numPr>
        <w:tabs>
          <w:tab w:val="left" w:pos="0"/>
        </w:tabs>
        <w:kinsoku/>
        <w:wordWrap/>
        <w:overflowPunct/>
        <w:topLinePunct w:val="0"/>
        <w:bidi w:val="0"/>
        <w:snapToGrid/>
        <w:spacing w:line="580" w:lineRule="exact"/>
        <w:jc w:val="center"/>
        <w:textAlignment w:val="auto"/>
        <w:rPr>
          <w:rFonts w:hint="default" w:ascii="仿宋_GB2312" w:eastAsia="仿宋_GB2312"/>
          <w:sz w:val="32"/>
          <w:szCs w:val="32"/>
          <w:u w:val="none" w:color="auto"/>
          <w:lang w:val="en-US"/>
        </w:rPr>
      </w:pPr>
      <w:r>
        <w:rPr>
          <w:rFonts w:hint="default" w:ascii="仿宋_GB2312" w:eastAsia="仿宋_GB2312"/>
          <w:sz w:val="32"/>
          <w:szCs w:val="32"/>
          <w:u w:val="none" w:color="auto"/>
          <w:lang w:val="en-US"/>
        </w:rPr>
        <w:t>(2024</w:t>
      </w:r>
      <w:r>
        <w:rPr>
          <w:rFonts w:hint="eastAsia" w:ascii="仿宋_GB2312" w:eastAsia="仿宋_GB2312"/>
          <w:sz w:val="32"/>
          <w:szCs w:val="32"/>
          <w:u w:val="none" w:color="auto"/>
          <w:lang w:val="en-US" w:eastAsia="zh-CN"/>
        </w:rPr>
        <w:t>年</w:t>
      </w:r>
      <w:r>
        <w:rPr>
          <w:rFonts w:hint="default" w:ascii="仿宋_GB2312" w:eastAsia="仿宋_GB2312"/>
          <w:sz w:val="32"/>
          <w:szCs w:val="32"/>
          <w:u w:val="none" w:color="auto"/>
          <w:lang w:val="en-US" w:eastAsia="zh-CN"/>
        </w:rPr>
        <w:t>11</w:t>
      </w:r>
      <w:r>
        <w:rPr>
          <w:rFonts w:hint="eastAsia" w:ascii="仿宋_GB2312" w:eastAsia="仿宋_GB2312"/>
          <w:sz w:val="32"/>
          <w:szCs w:val="32"/>
          <w:u w:val="none" w:color="auto"/>
          <w:lang w:val="en-US" w:eastAsia="zh-CN"/>
        </w:rPr>
        <w:t>月修订</w:t>
      </w:r>
      <w:r>
        <w:rPr>
          <w:rFonts w:hint="default" w:ascii="仿宋_GB2312" w:eastAsia="仿宋_GB2312"/>
          <w:sz w:val="32"/>
          <w:szCs w:val="32"/>
          <w:u w:val="none" w:color="auto"/>
          <w:lang w:val="en-US"/>
        </w:rPr>
        <w:t>)</w:t>
      </w:r>
    </w:p>
    <w:p>
      <w:pPr>
        <w:keepNext w:val="0"/>
        <w:keepLines w:val="0"/>
        <w:pageBreakBefore w:val="0"/>
        <w:kinsoku/>
        <w:wordWrap/>
        <w:overflowPunct/>
        <w:topLinePunct w:val="0"/>
        <w:bidi w:val="0"/>
        <w:snapToGrid/>
        <w:spacing w:line="580" w:lineRule="exact"/>
        <w:jc w:val="left"/>
        <w:textAlignment w:val="auto"/>
        <w:rPr>
          <w:sz w:val="32"/>
          <w:szCs w:val="32"/>
          <w:u w:val="none" w:color="auto"/>
        </w:rPr>
      </w:pPr>
    </w:p>
    <w:p>
      <w:pPr>
        <w:keepNext w:val="0"/>
        <w:keepLines w:val="0"/>
        <w:pageBreakBefore w:val="0"/>
        <w:widowControl w:val="0"/>
        <w:kinsoku/>
        <w:wordWrap/>
        <w:overflowPunct/>
        <w:topLinePunct w:val="0"/>
        <w:autoSpaceDE/>
        <w:autoSpaceDN/>
        <w:bidi w:val="0"/>
        <w:adjustRightInd/>
        <w:snapToGrid/>
        <w:spacing w:before="0" w:beforeLines="50" w:after="0" w:afterLines="50" w:line="580" w:lineRule="exact"/>
        <w:jc w:val="center"/>
        <w:textAlignment w:val="auto"/>
        <w:outlineLvl w:val="0"/>
        <w:rPr>
          <w:rFonts w:ascii="黑体" w:hAnsi="黑体" w:eastAsia="黑体"/>
          <w:sz w:val="32"/>
          <w:szCs w:val="32"/>
          <w:u w:val="none" w:color="auto"/>
        </w:rPr>
      </w:pPr>
      <w:r>
        <w:rPr>
          <w:rFonts w:hint="eastAsia" w:ascii="黑体" w:hAnsi="黑体" w:eastAsia="黑体"/>
          <w:sz w:val="32"/>
          <w:szCs w:val="32"/>
          <w:u w:val="none" w:color="auto"/>
        </w:rPr>
        <w:t>第一章</w:t>
      </w:r>
      <w:r>
        <w:rPr>
          <w:rFonts w:hint="eastAsia" w:ascii="黑体" w:hAnsi="黑体" w:eastAsia="黑体"/>
          <w:sz w:val="32"/>
          <w:szCs w:val="32"/>
          <w:u w:val="none" w:color="auto"/>
          <w:lang w:val="en-US" w:eastAsia="zh-CN"/>
        </w:rPr>
        <w:t xml:space="preserve"> </w:t>
      </w:r>
      <w:r>
        <w:rPr>
          <w:rFonts w:hint="eastAsia" w:ascii="黑体" w:hAnsi="黑体" w:eastAsia="黑体"/>
          <w:sz w:val="32"/>
          <w:szCs w:val="32"/>
          <w:u w:val="none" w:color="auto"/>
        </w:rPr>
        <w:t xml:space="preserve"> 总 则</w:t>
      </w:r>
    </w:p>
    <w:p>
      <w:pPr>
        <w:keepNext w:val="0"/>
        <w:keepLines w:val="0"/>
        <w:pageBreakBefore w:val="0"/>
        <w:numPr>
          <w:ilvl w:val="0"/>
          <w:numId w:val="0"/>
        </w:numPr>
        <w:tabs>
          <w:tab w:val="left" w:pos="0"/>
        </w:tabs>
        <w:kinsoku/>
        <w:wordWrap/>
        <w:overflowPunct/>
        <w:topLinePunct w:val="0"/>
        <w:bidi w:val="0"/>
        <w:snapToGrid/>
        <w:spacing w:line="580" w:lineRule="exact"/>
        <w:ind w:firstLine="643" w:firstLineChars="200"/>
        <w:textAlignment w:val="auto"/>
        <w:rPr>
          <w:rFonts w:ascii="仿宋_GB2312" w:eastAsia="仿宋_GB2312"/>
          <w:sz w:val="32"/>
          <w:szCs w:val="32"/>
          <w:u w:val="none" w:color="auto"/>
        </w:rPr>
      </w:pPr>
      <w:r>
        <w:rPr>
          <w:rFonts w:hint="eastAsia" w:ascii="仿宋_GB2312" w:hAnsi="仿宋" w:eastAsia="仿宋_GB2312" w:cs="Times New Roman"/>
          <w:b/>
          <w:bCs/>
          <w:sz w:val="32"/>
          <w:szCs w:val="20"/>
          <w:u w:val="none" w:color="auto"/>
          <w:lang w:eastAsia="zh-CN"/>
        </w:rPr>
        <w:t>第一条</w:t>
      </w:r>
      <w:r>
        <w:rPr>
          <w:rFonts w:hint="eastAsia" w:ascii="仿宋_GB2312" w:eastAsia="仿宋_GB2312"/>
          <w:sz w:val="32"/>
          <w:szCs w:val="32"/>
          <w:u w:val="none" w:color="auto"/>
          <w:lang w:val="en-US" w:eastAsia="zh-CN"/>
        </w:rPr>
        <w:t xml:space="preserve"> </w:t>
      </w:r>
      <w:r>
        <w:rPr>
          <w:rFonts w:hint="eastAsia" w:ascii="仿宋_GB2312" w:eastAsia="仿宋_GB2312"/>
          <w:sz w:val="32"/>
          <w:szCs w:val="32"/>
          <w:u w:val="none" w:color="auto"/>
        </w:rPr>
        <w:t>为加强学院国有资产管理，规范资产管理行为，维护资产安全和完整，合理配置和有效利用国有资产</w:t>
      </w:r>
      <w:r>
        <w:rPr>
          <w:rFonts w:hint="eastAsia" w:ascii="仿宋_GB2312" w:eastAsia="仿宋_GB2312"/>
          <w:sz w:val="32"/>
          <w:szCs w:val="32"/>
          <w:u w:val="none" w:color="auto"/>
          <w:lang w:val="en-US" w:eastAsia="zh-CN"/>
        </w:rPr>
        <w:t>，</w:t>
      </w:r>
      <w:r>
        <w:rPr>
          <w:rFonts w:hint="eastAsia" w:ascii="仿宋_GB2312" w:eastAsia="仿宋_GB2312"/>
          <w:sz w:val="32"/>
          <w:szCs w:val="32"/>
          <w:u w:val="none" w:color="auto"/>
        </w:rPr>
        <w:t>防止国有资产流失，保障和促进学院各项事业健康发展,根据《行政事业性国有资产管理条例》（国务院令第738号）《行政事业单位资产清查核实管理办法》（财资〔2016〕1号）《江西省行政事业性国有资产管理办法》（赣财资〔2023〕25号）《江西省省级行政事业单位国有资产处置管理办法》（赣财资〔2023〕27号）等规定，结合学院实际，修</w:t>
      </w:r>
      <w:r>
        <w:rPr>
          <w:rFonts w:hint="eastAsia" w:ascii="仿宋_GB2312" w:eastAsia="仿宋_GB2312"/>
          <w:sz w:val="32"/>
          <w:szCs w:val="32"/>
          <w:u w:val="none" w:color="auto"/>
          <w:lang w:eastAsia="zh-CN"/>
        </w:rPr>
        <w:t>订</w:t>
      </w:r>
      <w:r>
        <w:rPr>
          <w:rFonts w:hint="eastAsia" w:ascii="仿宋_GB2312" w:eastAsia="仿宋_GB2312"/>
          <w:sz w:val="32"/>
          <w:szCs w:val="32"/>
          <w:u w:val="none" w:color="auto"/>
        </w:rPr>
        <w:t>本办法。</w:t>
      </w:r>
    </w:p>
    <w:p>
      <w:pPr>
        <w:keepNext w:val="0"/>
        <w:keepLines w:val="0"/>
        <w:pageBreakBefore w:val="0"/>
        <w:numPr>
          <w:ilvl w:val="0"/>
          <w:numId w:val="0"/>
        </w:numPr>
        <w:tabs>
          <w:tab w:val="left" w:pos="0"/>
        </w:tabs>
        <w:kinsoku/>
        <w:wordWrap/>
        <w:overflowPunct/>
        <w:topLinePunct w:val="0"/>
        <w:bidi w:val="0"/>
        <w:snapToGrid/>
        <w:spacing w:line="580" w:lineRule="exact"/>
        <w:ind w:firstLine="643" w:firstLineChars="200"/>
        <w:textAlignment w:val="auto"/>
        <w:rPr>
          <w:rFonts w:hint="eastAsia" w:ascii="仿宋_GB2312" w:eastAsia="仿宋_GB2312"/>
          <w:sz w:val="32"/>
          <w:szCs w:val="32"/>
          <w:highlight w:val="yellow"/>
          <w:u w:val="none" w:color="auto"/>
          <w:lang w:eastAsia="zh-CN"/>
        </w:rPr>
      </w:pPr>
      <w:r>
        <w:rPr>
          <w:rFonts w:hint="eastAsia" w:ascii="仿宋_GB2312" w:hAnsi="仿宋" w:eastAsia="仿宋_GB2312" w:cs="Times New Roman"/>
          <w:b/>
          <w:bCs/>
          <w:sz w:val="32"/>
          <w:szCs w:val="20"/>
          <w:u w:val="none" w:color="auto"/>
          <w:lang w:eastAsia="zh-CN"/>
        </w:rPr>
        <w:t>第二条</w:t>
      </w:r>
      <w:r>
        <w:rPr>
          <w:rFonts w:hint="eastAsia" w:ascii="仿宋_GB2312" w:eastAsia="仿宋_GB2312"/>
          <w:sz w:val="32"/>
          <w:szCs w:val="32"/>
          <w:u w:val="none" w:color="auto"/>
          <w:lang w:val="en-US" w:eastAsia="zh-CN"/>
        </w:rPr>
        <w:t xml:space="preserve"> </w:t>
      </w:r>
      <w:r>
        <w:rPr>
          <w:rFonts w:hint="eastAsia" w:ascii="仿宋_GB2312" w:eastAsia="仿宋_GB2312"/>
          <w:sz w:val="32"/>
          <w:szCs w:val="32"/>
          <w:highlight w:val="none"/>
          <w:u w:val="none" w:color="auto"/>
        </w:rPr>
        <w:t>学院国有资产是指</w:t>
      </w:r>
      <w:r>
        <w:rPr>
          <w:rFonts w:hint="eastAsia" w:ascii="仿宋_GB2312" w:eastAsia="仿宋_GB2312"/>
          <w:sz w:val="32"/>
          <w:szCs w:val="32"/>
          <w:highlight w:val="none"/>
          <w:u w:val="none" w:color="auto"/>
          <w:lang w:eastAsia="zh-CN"/>
        </w:rPr>
        <w:t>学院通过使用财政资金形成的资产，接受调拨或者划转、置换形成的资产，接受捐赠并确认为国有资产和其他依法确认为国有的资产。具体</w:t>
      </w:r>
      <w:r>
        <w:rPr>
          <w:rFonts w:hint="eastAsia" w:ascii="仿宋_GB2312" w:eastAsia="仿宋_GB2312"/>
          <w:sz w:val="32"/>
          <w:szCs w:val="32"/>
          <w:highlight w:val="none"/>
          <w:u w:val="none" w:color="auto"/>
          <w:lang w:val="en-US" w:eastAsia="zh-CN"/>
        </w:rPr>
        <w:t>表现形式为</w:t>
      </w:r>
      <w:r>
        <w:rPr>
          <w:rFonts w:hint="eastAsia" w:ascii="仿宋_GB2312" w:eastAsia="仿宋_GB2312"/>
          <w:sz w:val="32"/>
          <w:szCs w:val="32"/>
          <w:highlight w:val="none"/>
          <w:u w:val="none" w:color="auto"/>
          <w:lang w:eastAsia="zh-CN"/>
        </w:rPr>
        <w:t>流动资产、固定资产、在建工程、无形资产、</w:t>
      </w:r>
      <w:r>
        <w:rPr>
          <w:rFonts w:hint="eastAsia" w:ascii="仿宋_GB2312" w:eastAsia="仿宋_GB2312"/>
          <w:sz w:val="32"/>
          <w:szCs w:val="32"/>
          <w:highlight w:val="none"/>
          <w:u w:val="none" w:color="auto"/>
          <w:lang w:val="en-US" w:eastAsia="zh-CN"/>
        </w:rPr>
        <w:t>对外投资</w:t>
      </w:r>
      <w:r>
        <w:rPr>
          <w:rFonts w:hint="eastAsia" w:ascii="仿宋_GB2312" w:eastAsia="仿宋_GB2312"/>
          <w:sz w:val="32"/>
          <w:szCs w:val="32"/>
          <w:highlight w:val="none"/>
          <w:u w:val="none" w:color="auto"/>
          <w:lang w:eastAsia="zh-CN"/>
        </w:rPr>
        <w:t>等。</w:t>
      </w:r>
    </w:p>
    <w:p>
      <w:pPr>
        <w:spacing w:line="580" w:lineRule="exact"/>
        <w:ind w:firstLine="640" w:firstLineChars="200"/>
        <w:rPr>
          <w:rFonts w:ascii="仿宋_GB2312" w:hAnsi="仿宋" w:eastAsia="仿宋_GB2312"/>
          <w:sz w:val="32"/>
          <w:szCs w:val="20"/>
          <w:u w:val="none" w:color="auto"/>
        </w:rPr>
      </w:pPr>
      <w:r>
        <w:rPr>
          <w:rFonts w:ascii="仿宋_GB2312" w:hAnsi="仿宋" w:eastAsia="仿宋_GB2312"/>
          <w:sz w:val="32"/>
          <w:szCs w:val="20"/>
          <w:u w:val="none" w:color="auto"/>
        </w:rPr>
        <w:t>流动资产是指可以在一年以内变现或者耗用的资产，包括现金、各种存款、应收及预付款项等。</w:t>
      </w:r>
    </w:p>
    <w:p>
      <w:pPr>
        <w:spacing w:line="580" w:lineRule="exact"/>
        <w:ind w:firstLine="640" w:firstLineChars="200"/>
        <w:rPr>
          <w:rFonts w:ascii="仿宋_GB2312" w:hAnsi="仿宋" w:eastAsia="仿宋_GB2312"/>
          <w:sz w:val="32"/>
          <w:szCs w:val="20"/>
          <w:u w:val="none" w:color="auto"/>
        </w:rPr>
      </w:pPr>
      <w:r>
        <w:rPr>
          <w:rFonts w:ascii="仿宋_GB2312" w:hAnsi="仿宋" w:eastAsia="仿宋_GB2312"/>
          <w:sz w:val="32"/>
          <w:szCs w:val="20"/>
          <w:u w:val="none" w:color="auto"/>
        </w:rPr>
        <w:t>固定资产是指使用期限超过一年，单位价值在1000元以上，并在使用过程中基本保持原有物质形态的资产。单位价值虽未达到规定标准，但耐用时间在一年以上的大批同类物资，作为固定资产管理。</w:t>
      </w:r>
    </w:p>
    <w:p>
      <w:pPr>
        <w:spacing w:line="580" w:lineRule="exact"/>
        <w:ind w:firstLine="640" w:firstLineChars="200"/>
        <w:rPr>
          <w:rFonts w:ascii="仿宋_GB2312" w:hAnsi="仿宋" w:eastAsia="仿宋_GB2312"/>
          <w:sz w:val="32"/>
          <w:szCs w:val="20"/>
          <w:u w:val="none" w:color="auto"/>
        </w:rPr>
      </w:pPr>
      <w:r>
        <w:rPr>
          <w:rFonts w:ascii="仿宋_GB2312" w:hAnsi="仿宋" w:eastAsia="仿宋_GB2312"/>
          <w:sz w:val="32"/>
          <w:szCs w:val="20"/>
          <w:u w:val="none" w:color="auto"/>
        </w:rPr>
        <w:t>在建工程是指已经发生必要支出，但尚未达到交付使用状态的建设工程。</w:t>
      </w:r>
    </w:p>
    <w:p>
      <w:pPr>
        <w:spacing w:line="580" w:lineRule="exact"/>
        <w:ind w:firstLine="640" w:firstLineChars="200"/>
        <w:rPr>
          <w:rFonts w:ascii="仿宋_GB2312" w:hAnsi="仿宋" w:eastAsia="仿宋_GB2312"/>
          <w:sz w:val="32"/>
          <w:szCs w:val="20"/>
          <w:u w:val="none" w:color="auto"/>
        </w:rPr>
      </w:pPr>
      <w:r>
        <w:rPr>
          <w:rFonts w:ascii="仿宋_GB2312" w:hAnsi="仿宋" w:eastAsia="仿宋_GB2312"/>
          <w:sz w:val="32"/>
          <w:szCs w:val="20"/>
          <w:u w:val="none" w:color="auto"/>
        </w:rPr>
        <w:t>无形资产是指不具有实物形态而能为使用者提供某种权利的资产,包括专利权、商标权、著作权、土地使用权、非专利技术及其他财产权利。</w:t>
      </w:r>
    </w:p>
    <w:p>
      <w:pPr>
        <w:keepNext w:val="0"/>
        <w:keepLines w:val="0"/>
        <w:pageBreakBefore w:val="0"/>
        <w:numPr>
          <w:ilvl w:val="0"/>
          <w:numId w:val="0"/>
        </w:numPr>
        <w:tabs>
          <w:tab w:val="left" w:pos="0"/>
        </w:tabs>
        <w:kinsoku/>
        <w:wordWrap/>
        <w:overflowPunct/>
        <w:topLinePunct w:val="0"/>
        <w:bidi w:val="0"/>
        <w:snapToGrid/>
        <w:spacing w:line="580" w:lineRule="exact"/>
        <w:ind w:firstLine="640" w:firstLineChars="200"/>
        <w:textAlignment w:val="auto"/>
        <w:rPr>
          <w:rFonts w:hint="eastAsia" w:ascii="仿宋_GB2312" w:eastAsia="仿宋_GB2312"/>
          <w:b/>
          <w:bCs/>
          <w:color w:val="0000FF"/>
          <w:sz w:val="32"/>
          <w:szCs w:val="32"/>
          <w:highlight w:val="yellow"/>
          <w:u w:val="none" w:color="auto"/>
          <w:lang w:eastAsia="zh-CN"/>
        </w:rPr>
      </w:pPr>
      <w:r>
        <w:rPr>
          <w:rFonts w:ascii="仿宋_GB2312" w:hAnsi="仿宋" w:eastAsia="仿宋_GB2312"/>
          <w:sz w:val="32"/>
          <w:szCs w:val="20"/>
          <w:u w:val="none" w:color="auto"/>
        </w:rPr>
        <w:t>对外投资是指学</w:t>
      </w:r>
      <w:r>
        <w:rPr>
          <w:rFonts w:hint="eastAsia" w:ascii="仿宋_GB2312" w:hAnsi="仿宋" w:eastAsia="仿宋_GB2312"/>
          <w:sz w:val="32"/>
          <w:szCs w:val="20"/>
          <w:u w:val="none" w:color="auto"/>
          <w:lang w:eastAsia="zh-CN"/>
        </w:rPr>
        <w:t>院</w:t>
      </w:r>
      <w:r>
        <w:rPr>
          <w:rFonts w:ascii="仿宋_GB2312" w:hAnsi="仿宋" w:eastAsia="仿宋_GB2312"/>
          <w:sz w:val="32"/>
          <w:szCs w:val="20"/>
          <w:u w:val="none" w:color="auto"/>
        </w:rPr>
        <w:t>依法用货币资金、实物、无形资产等方式向其他单位的投资。</w:t>
      </w:r>
    </w:p>
    <w:p>
      <w:pPr>
        <w:keepNext w:val="0"/>
        <w:keepLines w:val="0"/>
        <w:pageBreakBefore w:val="0"/>
        <w:numPr>
          <w:ilvl w:val="0"/>
          <w:numId w:val="0"/>
        </w:numPr>
        <w:tabs>
          <w:tab w:val="left" w:pos="0"/>
        </w:tabs>
        <w:kinsoku/>
        <w:wordWrap/>
        <w:overflowPunct/>
        <w:topLinePunct w:val="0"/>
        <w:bidi w:val="0"/>
        <w:snapToGrid/>
        <w:spacing w:line="580" w:lineRule="exact"/>
        <w:ind w:left="-10" w:leftChars="0" w:firstLine="640" w:firstLineChars="0"/>
        <w:textAlignment w:val="auto"/>
        <w:rPr>
          <w:rFonts w:ascii="仿宋_GB2312" w:eastAsia="仿宋_GB2312"/>
          <w:sz w:val="32"/>
          <w:szCs w:val="32"/>
          <w:u w:val="none" w:color="auto"/>
        </w:rPr>
      </w:pPr>
      <w:r>
        <w:rPr>
          <w:rFonts w:hint="eastAsia" w:ascii="仿宋_GB2312" w:hAnsi="仿宋" w:eastAsia="仿宋_GB2312" w:cs="Times New Roman"/>
          <w:b/>
          <w:bCs/>
          <w:sz w:val="32"/>
          <w:szCs w:val="20"/>
          <w:u w:val="none" w:color="auto"/>
          <w:lang w:val="en-US" w:eastAsia="zh-CN"/>
        </w:rPr>
        <w:t>第三条</w:t>
      </w:r>
      <w:r>
        <w:rPr>
          <w:rFonts w:hint="eastAsia" w:ascii="仿宋" w:hAnsi="仿宋" w:eastAsia="仿宋" w:cs="仿宋"/>
          <w:b/>
          <w:kern w:val="2"/>
          <w:sz w:val="32"/>
          <w:szCs w:val="32"/>
          <w:u w:val="none" w:color="auto"/>
          <w:lang w:val="en-US" w:eastAsia="zh-CN" w:bidi="ar-SA"/>
        </w:rPr>
        <w:t xml:space="preserve"> </w:t>
      </w:r>
      <w:r>
        <w:rPr>
          <w:rFonts w:hint="eastAsia" w:ascii="仿宋_GB2312" w:eastAsia="仿宋_GB2312"/>
          <w:sz w:val="32"/>
          <w:szCs w:val="32"/>
          <w:u w:val="none" w:color="auto"/>
        </w:rPr>
        <w:t>学院国有资产应当遵循安全规范、节约高效、公开透明、权责一致的原则，科学配置、保障需求、合理使用、提高效益，实现实物管理与价值管理相统一，资产管理与预算管理、财务管理、绩效管理相结合。</w:t>
      </w:r>
    </w:p>
    <w:p>
      <w:pPr>
        <w:keepNext w:val="0"/>
        <w:keepLines w:val="0"/>
        <w:pageBreakBefore w:val="0"/>
        <w:numPr>
          <w:ilvl w:val="0"/>
          <w:numId w:val="0"/>
        </w:numPr>
        <w:tabs>
          <w:tab w:val="left" w:pos="0"/>
        </w:tabs>
        <w:kinsoku/>
        <w:wordWrap/>
        <w:overflowPunct/>
        <w:topLinePunct w:val="0"/>
        <w:bidi w:val="0"/>
        <w:snapToGrid/>
        <w:spacing w:line="580" w:lineRule="exact"/>
        <w:ind w:left="-10" w:leftChars="0" w:firstLine="640" w:firstLineChars="0"/>
        <w:textAlignment w:val="auto"/>
        <w:rPr>
          <w:rFonts w:ascii="仿宋_GB2312" w:eastAsia="仿宋_GB2312"/>
          <w:sz w:val="32"/>
          <w:szCs w:val="32"/>
          <w:u w:val="none" w:color="auto"/>
        </w:rPr>
      </w:pPr>
      <w:r>
        <w:rPr>
          <w:rFonts w:hint="eastAsia" w:ascii="仿宋_GB2312" w:hAnsi="仿宋" w:eastAsia="仿宋_GB2312" w:cs="Times New Roman"/>
          <w:b/>
          <w:bCs/>
          <w:sz w:val="32"/>
          <w:szCs w:val="20"/>
          <w:u w:val="none" w:color="auto"/>
          <w:lang w:val="en-US" w:eastAsia="zh-CN"/>
        </w:rPr>
        <w:t>第四条</w:t>
      </w:r>
      <w:r>
        <w:rPr>
          <w:rFonts w:hint="eastAsia" w:ascii="仿宋" w:hAnsi="仿宋" w:eastAsia="仿宋" w:cs="仿宋"/>
          <w:b/>
          <w:kern w:val="2"/>
          <w:sz w:val="32"/>
          <w:szCs w:val="32"/>
          <w:u w:val="none" w:color="auto"/>
          <w:lang w:val="en-US" w:eastAsia="zh-CN" w:bidi="ar-SA"/>
        </w:rPr>
        <w:t xml:space="preserve"> </w:t>
      </w:r>
      <w:r>
        <w:rPr>
          <w:rFonts w:hint="eastAsia" w:ascii="仿宋_GB2312" w:eastAsia="仿宋_GB2312"/>
          <w:sz w:val="32"/>
          <w:szCs w:val="32"/>
          <w:u w:val="none" w:color="auto"/>
        </w:rPr>
        <w:t>学院国有资产管理的主要任务</w:t>
      </w:r>
      <w:r>
        <w:rPr>
          <w:rFonts w:hint="eastAsia" w:ascii="仿宋_GB2312" w:eastAsia="仿宋_GB2312"/>
          <w:sz w:val="32"/>
          <w:szCs w:val="32"/>
          <w:u w:val="none" w:color="auto"/>
          <w:lang w:eastAsia="zh-CN"/>
        </w:rPr>
        <w:t>是</w:t>
      </w:r>
      <w:r>
        <w:rPr>
          <w:rFonts w:hint="eastAsia" w:ascii="仿宋_GB2312" w:eastAsia="仿宋_GB2312"/>
          <w:sz w:val="32"/>
          <w:szCs w:val="32"/>
          <w:u w:val="none" w:color="auto"/>
        </w:rPr>
        <w:t>：建立和健全各项规章制度，推动学院国有资产的优化配置和有效使用，保障学院国有资产的安全和完整，实现国有资产的保值增值。</w:t>
      </w:r>
    </w:p>
    <w:p>
      <w:pPr>
        <w:keepNext w:val="0"/>
        <w:keepLines w:val="0"/>
        <w:pageBreakBefore w:val="0"/>
        <w:widowControl w:val="0"/>
        <w:kinsoku/>
        <w:wordWrap/>
        <w:overflowPunct/>
        <w:topLinePunct w:val="0"/>
        <w:autoSpaceDE/>
        <w:autoSpaceDN/>
        <w:bidi w:val="0"/>
        <w:adjustRightInd/>
        <w:snapToGrid/>
        <w:spacing w:before="0" w:beforeLines="50" w:after="0" w:afterLines="50" w:line="580" w:lineRule="exact"/>
        <w:jc w:val="center"/>
        <w:textAlignment w:val="auto"/>
        <w:outlineLvl w:val="0"/>
        <w:rPr>
          <w:rFonts w:hint="eastAsia" w:ascii="黑体" w:hAnsi="黑体" w:eastAsia="黑体"/>
          <w:sz w:val="32"/>
          <w:szCs w:val="32"/>
          <w:u w:val="none" w:color="auto"/>
        </w:rPr>
      </w:pPr>
      <w:r>
        <w:rPr>
          <w:rFonts w:hint="eastAsia" w:ascii="黑体" w:hAnsi="黑体" w:eastAsia="黑体"/>
          <w:sz w:val="32"/>
          <w:szCs w:val="32"/>
          <w:u w:val="none" w:color="auto"/>
        </w:rPr>
        <w:t xml:space="preserve">第二章 </w:t>
      </w:r>
      <w:r>
        <w:rPr>
          <w:rFonts w:hint="eastAsia" w:ascii="黑体" w:hAnsi="黑体" w:eastAsia="黑体"/>
          <w:sz w:val="32"/>
          <w:szCs w:val="32"/>
          <w:u w:val="none" w:color="auto"/>
          <w:lang w:val="en-US" w:eastAsia="zh-CN"/>
        </w:rPr>
        <w:t xml:space="preserve"> </w:t>
      </w:r>
      <w:r>
        <w:rPr>
          <w:rFonts w:hint="eastAsia" w:ascii="黑体" w:hAnsi="黑体" w:eastAsia="黑体"/>
          <w:sz w:val="32"/>
          <w:szCs w:val="32"/>
          <w:u w:val="none" w:color="auto"/>
        </w:rPr>
        <w:t>管理机构及职责</w:t>
      </w:r>
    </w:p>
    <w:p>
      <w:pPr>
        <w:keepNext w:val="0"/>
        <w:keepLines w:val="0"/>
        <w:pageBreakBefore w:val="0"/>
        <w:numPr>
          <w:ilvl w:val="0"/>
          <w:numId w:val="0"/>
        </w:numPr>
        <w:tabs>
          <w:tab w:val="left" w:pos="0"/>
        </w:tabs>
        <w:kinsoku/>
        <w:wordWrap/>
        <w:overflowPunct/>
        <w:topLinePunct w:val="0"/>
        <w:bidi w:val="0"/>
        <w:snapToGrid/>
        <w:spacing w:line="580" w:lineRule="exact"/>
        <w:ind w:left="-10" w:leftChars="0" w:firstLine="640" w:firstLineChars="0"/>
        <w:textAlignment w:val="auto"/>
        <w:rPr>
          <w:rFonts w:hint="eastAsia" w:ascii="仿宋_GB2312" w:eastAsia="仿宋_GB2312"/>
          <w:sz w:val="32"/>
          <w:szCs w:val="32"/>
          <w:u w:val="none" w:color="auto"/>
        </w:rPr>
      </w:pPr>
      <w:r>
        <w:rPr>
          <w:rFonts w:hint="eastAsia" w:ascii="仿宋_GB2312" w:hAnsi="仿宋" w:eastAsia="仿宋_GB2312" w:cs="Times New Roman"/>
          <w:b/>
          <w:bCs/>
          <w:sz w:val="32"/>
          <w:szCs w:val="20"/>
          <w:u w:val="none" w:color="auto"/>
          <w:lang w:val="en-US" w:eastAsia="zh-CN"/>
        </w:rPr>
        <w:t>第五条</w:t>
      </w:r>
      <w:r>
        <w:rPr>
          <w:rFonts w:hint="eastAsia" w:ascii="仿宋" w:hAnsi="仿宋" w:eastAsia="仿宋" w:cs="仿宋"/>
          <w:b/>
          <w:kern w:val="2"/>
          <w:sz w:val="32"/>
          <w:szCs w:val="32"/>
          <w:u w:val="none" w:color="auto"/>
          <w:lang w:val="en-US" w:eastAsia="zh-CN" w:bidi="ar-SA"/>
        </w:rPr>
        <w:t xml:space="preserve"> </w:t>
      </w:r>
      <w:r>
        <w:rPr>
          <w:rFonts w:hint="eastAsia" w:ascii="仿宋_GB2312" w:eastAsia="仿宋_GB2312"/>
          <w:sz w:val="32"/>
          <w:szCs w:val="32"/>
          <w:u w:val="none" w:color="auto"/>
        </w:rPr>
        <w:t>学院国有资产管理工作实行“统一领导、归口管理、分级负责、责任到人”的管理体制，实行</w:t>
      </w:r>
      <w:r>
        <w:rPr>
          <w:rFonts w:hint="eastAsia" w:ascii="仿宋_GB2312" w:eastAsia="仿宋_GB2312"/>
          <w:sz w:val="32"/>
          <w:szCs w:val="32"/>
          <w:u w:val="none" w:color="auto"/>
          <w:lang w:eastAsia="zh-CN"/>
        </w:rPr>
        <w:t>学院</w:t>
      </w:r>
      <w:r>
        <w:rPr>
          <w:rFonts w:hint="eastAsia" w:ascii="仿宋_GB2312" w:eastAsia="仿宋_GB2312"/>
          <w:sz w:val="32"/>
          <w:szCs w:val="32"/>
          <w:u w:val="none" w:color="auto"/>
        </w:rPr>
        <w:t>统管、归口部门专管、使用部门及使用人保管的三级管理责任体系。</w:t>
      </w:r>
    </w:p>
    <w:p>
      <w:pPr>
        <w:keepNext w:val="0"/>
        <w:keepLines w:val="0"/>
        <w:pageBreakBefore w:val="0"/>
        <w:numPr>
          <w:ilvl w:val="0"/>
          <w:numId w:val="0"/>
        </w:numPr>
        <w:tabs>
          <w:tab w:val="left" w:pos="0"/>
        </w:tabs>
        <w:kinsoku/>
        <w:wordWrap/>
        <w:overflowPunct/>
        <w:topLinePunct w:val="0"/>
        <w:bidi w:val="0"/>
        <w:snapToGrid/>
        <w:spacing w:line="580" w:lineRule="exact"/>
        <w:ind w:left="-10" w:leftChars="0" w:firstLine="640" w:firstLineChars="0"/>
        <w:textAlignment w:val="auto"/>
        <w:rPr>
          <w:rFonts w:hint="default" w:ascii="仿宋_GB2312" w:eastAsia="仿宋_GB2312"/>
          <w:sz w:val="32"/>
          <w:szCs w:val="32"/>
          <w:u w:val="none" w:color="auto"/>
          <w:lang w:val="en-US" w:eastAsia="zh-CN"/>
        </w:rPr>
      </w:pPr>
      <w:r>
        <w:rPr>
          <w:rFonts w:hint="eastAsia" w:ascii="仿宋_GB2312" w:hAnsi="仿宋" w:eastAsia="仿宋_GB2312" w:cs="Times New Roman"/>
          <w:b/>
          <w:bCs/>
          <w:sz w:val="32"/>
          <w:szCs w:val="20"/>
          <w:u w:val="none" w:color="auto"/>
          <w:lang w:val="en-US" w:eastAsia="zh-CN"/>
        </w:rPr>
        <w:t>第六条</w:t>
      </w:r>
      <w:r>
        <w:rPr>
          <w:rFonts w:hint="eastAsia" w:ascii="仿宋_GB2312" w:eastAsia="仿宋_GB2312"/>
          <w:sz w:val="32"/>
          <w:szCs w:val="32"/>
          <w:u w:val="none" w:color="auto"/>
          <w:lang w:val="en-US" w:eastAsia="zh-CN"/>
        </w:rPr>
        <w:t xml:space="preserve"> 学院成立国有资产管理工作领导小组，全面领导学院国有资产管理工作。国有资产管理工作领导小组组长由院长担任，其他分管工作的院领导担任副组长，领导小组下设办公室，办公室挂靠资产管理处，成员由各部门负责人组成。</w:t>
      </w:r>
    </w:p>
    <w:p>
      <w:pPr>
        <w:spacing w:line="580" w:lineRule="exact"/>
        <w:ind w:firstLine="643" w:firstLineChars="200"/>
        <w:rPr>
          <w:rFonts w:ascii="仿宋_GB2312" w:hAnsi="仿宋" w:eastAsia="仿宋_GB2312" w:cs="Times New Roman"/>
          <w:sz w:val="32"/>
          <w:szCs w:val="20"/>
          <w:u w:val="none" w:color="auto"/>
        </w:rPr>
      </w:pPr>
      <w:r>
        <w:rPr>
          <w:rFonts w:hint="eastAsia" w:ascii="仿宋_GB2312" w:hAnsi="仿宋" w:eastAsia="仿宋_GB2312" w:cs="Times New Roman"/>
          <w:b/>
          <w:bCs/>
          <w:sz w:val="32"/>
          <w:szCs w:val="20"/>
          <w:u w:val="none" w:color="auto"/>
          <w:lang w:eastAsia="zh-CN"/>
        </w:rPr>
        <w:t>第七条</w:t>
      </w:r>
      <w:r>
        <w:rPr>
          <w:rFonts w:hint="eastAsia" w:ascii="仿宋_GB2312" w:hAnsi="仿宋" w:eastAsia="仿宋_GB2312" w:cs="Times New Roman"/>
          <w:sz w:val="32"/>
          <w:szCs w:val="20"/>
          <w:u w:val="none" w:color="auto"/>
          <w:lang w:val="en-US" w:eastAsia="zh-CN"/>
        </w:rPr>
        <w:t xml:space="preserve"> </w:t>
      </w:r>
      <w:r>
        <w:rPr>
          <w:rFonts w:hint="eastAsia" w:ascii="仿宋_GB2312" w:eastAsia="仿宋_GB2312"/>
          <w:sz w:val="32"/>
          <w:szCs w:val="32"/>
          <w:u w:val="none" w:color="auto"/>
          <w:lang w:val="en-US" w:eastAsia="zh-CN"/>
        </w:rPr>
        <w:t>国有资产管理工作领导小组办公室</w:t>
      </w:r>
      <w:r>
        <w:rPr>
          <w:rFonts w:ascii="仿宋_GB2312" w:hAnsi="仿宋" w:eastAsia="仿宋_GB2312" w:cs="Times New Roman"/>
          <w:sz w:val="32"/>
          <w:szCs w:val="20"/>
          <w:u w:val="none" w:color="auto"/>
        </w:rPr>
        <w:t>对学</w:t>
      </w:r>
      <w:r>
        <w:rPr>
          <w:rFonts w:hint="eastAsia" w:ascii="仿宋_GB2312" w:hAnsi="仿宋" w:eastAsia="仿宋_GB2312" w:cs="Times New Roman"/>
          <w:sz w:val="32"/>
          <w:szCs w:val="20"/>
          <w:u w:val="none" w:color="auto"/>
          <w:lang w:eastAsia="zh-CN"/>
        </w:rPr>
        <w:t>院</w:t>
      </w:r>
      <w:r>
        <w:rPr>
          <w:rFonts w:ascii="仿宋_GB2312" w:hAnsi="仿宋" w:eastAsia="仿宋_GB2312" w:cs="Times New Roman"/>
          <w:sz w:val="32"/>
          <w:szCs w:val="20"/>
          <w:u w:val="none" w:color="auto"/>
        </w:rPr>
        <w:t>国有资产进行统筹管理。主要职责是：</w:t>
      </w:r>
    </w:p>
    <w:p>
      <w:pPr>
        <w:keepNext w:val="0"/>
        <w:keepLines w:val="0"/>
        <w:pageBreakBefore w:val="0"/>
        <w:kinsoku/>
        <w:wordWrap/>
        <w:overflowPunct/>
        <w:topLinePunct w:val="0"/>
        <w:bidi w:val="0"/>
        <w:snapToGrid/>
        <w:spacing w:line="580" w:lineRule="exact"/>
        <w:ind w:firstLine="640" w:firstLineChars="200"/>
        <w:textAlignment w:val="auto"/>
        <w:rPr>
          <w:rFonts w:hint="eastAsia" w:ascii="仿宋_GB2312" w:eastAsia="仿宋_GB2312"/>
          <w:sz w:val="32"/>
          <w:szCs w:val="32"/>
          <w:u w:val="none" w:color="auto"/>
        </w:rPr>
      </w:pPr>
      <w:r>
        <w:rPr>
          <w:rFonts w:hint="eastAsia" w:ascii="仿宋_GB2312" w:eastAsia="仿宋_GB2312"/>
          <w:sz w:val="32"/>
          <w:szCs w:val="32"/>
          <w:u w:val="none" w:color="auto"/>
        </w:rPr>
        <w:t>（一）贯彻执行国家及上级主管部门有关国有资产管理的法律法规和政策，负责制定学院国有资产管理的规章制度并组织实施。</w:t>
      </w:r>
    </w:p>
    <w:p>
      <w:pPr>
        <w:keepNext w:val="0"/>
        <w:keepLines w:val="0"/>
        <w:pageBreakBefore w:val="0"/>
        <w:kinsoku/>
        <w:wordWrap/>
        <w:overflowPunct/>
        <w:topLinePunct w:val="0"/>
        <w:bidi w:val="0"/>
        <w:snapToGrid/>
        <w:spacing w:line="580" w:lineRule="exact"/>
        <w:ind w:firstLine="640" w:firstLineChars="200"/>
        <w:textAlignment w:val="auto"/>
        <w:rPr>
          <w:rFonts w:hint="eastAsia" w:ascii="仿宋_GB2312" w:eastAsia="仿宋_GB2312"/>
          <w:sz w:val="32"/>
          <w:szCs w:val="32"/>
          <w:u w:val="none" w:color="auto"/>
        </w:rPr>
      </w:pPr>
      <w:r>
        <w:rPr>
          <w:rFonts w:hint="eastAsia" w:ascii="仿宋_GB2312" w:eastAsia="仿宋_GB2312"/>
          <w:sz w:val="32"/>
          <w:szCs w:val="32"/>
          <w:u w:val="none" w:color="auto"/>
        </w:rPr>
        <w:t>（</w:t>
      </w:r>
      <w:r>
        <w:rPr>
          <w:rFonts w:hint="eastAsia" w:ascii="仿宋_GB2312" w:eastAsia="仿宋_GB2312"/>
          <w:sz w:val="32"/>
          <w:szCs w:val="32"/>
          <w:u w:val="none" w:color="auto"/>
          <w:lang w:eastAsia="zh-CN"/>
        </w:rPr>
        <w:t>二</w:t>
      </w:r>
      <w:r>
        <w:rPr>
          <w:rFonts w:hint="eastAsia" w:ascii="仿宋_GB2312" w:eastAsia="仿宋_GB2312"/>
          <w:sz w:val="32"/>
          <w:szCs w:val="32"/>
          <w:u w:val="none" w:color="auto"/>
        </w:rPr>
        <w:t>）负责国有资产的统计报表上报工作，接受上级部门的监督、指导。</w:t>
      </w:r>
    </w:p>
    <w:p>
      <w:pPr>
        <w:keepNext w:val="0"/>
        <w:keepLines w:val="0"/>
        <w:pageBreakBefore w:val="0"/>
        <w:kinsoku/>
        <w:wordWrap/>
        <w:overflowPunct/>
        <w:topLinePunct w:val="0"/>
        <w:bidi w:val="0"/>
        <w:snapToGrid/>
        <w:spacing w:line="580" w:lineRule="exact"/>
        <w:ind w:firstLine="640" w:firstLineChars="200"/>
        <w:textAlignment w:val="auto"/>
        <w:rPr>
          <w:rFonts w:ascii="仿宋_GB2312" w:eastAsia="仿宋_GB2312"/>
          <w:sz w:val="32"/>
          <w:szCs w:val="32"/>
          <w:u w:val="none" w:color="auto"/>
        </w:rPr>
      </w:pPr>
      <w:r>
        <w:rPr>
          <w:rFonts w:hint="eastAsia" w:ascii="仿宋_GB2312" w:eastAsia="仿宋_GB2312"/>
          <w:sz w:val="32"/>
          <w:szCs w:val="32"/>
          <w:u w:val="none" w:color="auto"/>
        </w:rPr>
        <w:t>（</w:t>
      </w:r>
      <w:r>
        <w:rPr>
          <w:rFonts w:hint="eastAsia" w:ascii="仿宋_GB2312" w:eastAsia="仿宋_GB2312"/>
          <w:sz w:val="32"/>
          <w:szCs w:val="32"/>
          <w:u w:val="none" w:color="auto"/>
          <w:lang w:eastAsia="zh-CN"/>
        </w:rPr>
        <w:t>三</w:t>
      </w:r>
      <w:r>
        <w:rPr>
          <w:rFonts w:hint="eastAsia" w:ascii="仿宋_GB2312" w:eastAsia="仿宋_GB2312"/>
          <w:sz w:val="32"/>
          <w:szCs w:val="32"/>
          <w:u w:val="none" w:color="auto"/>
        </w:rPr>
        <w:t>）负责学院国有资产管理队伍的建设，监督、指导各部门建立健全国有资产管理制度，组织、协调</w:t>
      </w:r>
      <w:r>
        <w:rPr>
          <w:rFonts w:hint="eastAsia" w:ascii="仿宋_GB2312" w:eastAsia="仿宋_GB2312"/>
          <w:sz w:val="32"/>
          <w:szCs w:val="32"/>
          <w:u w:val="none" w:color="auto"/>
          <w:lang w:eastAsia="zh-CN"/>
        </w:rPr>
        <w:t>学</w:t>
      </w:r>
      <w:r>
        <w:rPr>
          <w:rFonts w:hint="eastAsia" w:ascii="仿宋_GB2312" w:eastAsia="仿宋_GB2312"/>
          <w:sz w:val="32"/>
          <w:szCs w:val="32"/>
          <w:u w:val="none" w:color="auto"/>
        </w:rPr>
        <w:t>院国有资产管理日常工作。</w:t>
      </w:r>
    </w:p>
    <w:p>
      <w:pPr>
        <w:keepNext w:val="0"/>
        <w:keepLines w:val="0"/>
        <w:pageBreakBefore w:val="0"/>
        <w:kinsoku/>
        <w:wordWrap/>
        <w:overflowPunct/>
        <w:topLinePunct w:val="0"/>
        <w:bidi w:val="0"/>
        <w:snapToGrid/>
        <w:spacing w:line="580" w:lineRule="exact"/>
        <w:ind w:firstLine="640" w:firstLineChars="200"/>
        <w:textAlignment w:val="auto"/>
        <w:rPr>
          <w:rFonts w:ascii="仿宋_GB2312" w:eastAsia="仿宋_GB2312"/>
          <w:color w:val="auto"/>
          <w:sz w:val="32"/>
          <w:szCs w:val="32"/>
          <w:u w:val="none" w:color="auto"/>
        </w:rPr>
      </w:pPr>
      <w:r>
        <w:rPr>
          <w:rFonts w:hint="eastAsia" w:ascii="仿宋_GB2312" w:eastAsia="仿宋_GB2312"/>
          <w:sz w:val="32"/>
          <w:szCs w:val="32"/>
          <w:u w:val="none" w:color="auto"/>
        </w:rPr>
        <w:t>（</w:t>
      </w:r>
      <w:r>
        <w:rPr>
          <w:rFonts w:hint="eastAsia" w:ascii="仿宋_GB2312" w:eastAsia="仿宋_GB2312"/>
          <w:sz w:val="32"/>
          <w:szCs w:val="32"/>
          <w:u w:val="none" w:color="auto"/>
          <w:lang w:eastAsia="zh-CN"/>
        </w:rPr>
        <w:t>四</w:t>
      </w:r>
      <w:r>
        <w:rPr>
          <w:rFonts w:hint="eastAsia" w:ascii="仿宋_GB2312" w:eastAsia="仿宋_GB2312"/>
          <w:sz w:val="32"/>
          <w:szCs w:val="32"/>
          <w:u w:val="none" w:color="auto"/>
        </w:rPr>
        <w:t>）负责组织学院资产购</w:t>
      </w:r>
      <w:r>
        <w:rPr>
          <w:rFonts w:hint="eastAsia" w:ascii="仿宋_GB2312" w:eastAsia="仿宋_GB2312"/>
          <w:color w:val="auto"/>
          <w:sz w:val="32"/>
          <w:szCs w:val="32"/>
          <w:u w:val="none" w:color="auto"/>
        </w:rPr>
        <w:t>置、验收、登记入库等日常管理和监督工作；负责学院国有资产账卡管理、统计报告及日常监督检查工作。</w:t>
      </w:r>
    </w:p>
    <w:p>
      <w:pPr>
        <w:keepNext w:val="0"/>
        <w:keepLines w:val="0"/>
        <w:pageBreakBefore w:val="0"/>
        <w:kinsoku/>
        <w:wordWrap/>
        <w:overflowPunct/>
        <w:topLinePunct w:val="0"/>
        <w:bidi w:val="0"/>
        <w:snapToGrid/>
        <w:spacing w:line="580" w:lineRule="exact"/>
        <w:ind w:firstLine="640" w:firstLineChars="200"/>
        <w:textAlignment w:val="auto"/>
        <w:rPr>
          <w:rFonts w:hint="eastAsia" w:ascii="仿宋_GB2312" w:eastAsia="仿宋_GB2312"/>
          <w:color w:val="auto"/>
          <w:sz w:val="32"/>
          <w:szCs w:val="32"/>
          <w:u w:val="none" w:color="auto"/>
        </w:rPr>
      </w:pPr>
      <w:r>
        <w:rPr>
          <w:rFonts w:hint="eastAsia" w:ascii="仿宋_GB2312" w:eastAsia="仿宋_GB2312"/>
          <w:sz w:val="32"/>
          <w:szCs w:val="32"/>
          <w:u w:val="none" w:color="auto"/>
        </w:rPr>
        <w:t>（</w:t>
      </w:r>
      <w:r>
        <w:rPr>
          <w:rFonts w:hint="eastAsia" w:ascii="仿宋_GB2312" w:eastAsia="仿宋_GB2312"/>
          <w:sz w:val="32"/>
          <w:szCs w:val="32"/>
          <w:u w:val="none" w:color="auto"/>
          <w:lang w:eastAsia="zh-CN"/>
        </w:rPr>
        <w:t>五</w:t>
      </w:r>
      <w:r>
        <w:rPr>
          <w:rFonts w:hint="eastAsia" w:ascii="仿宋_GB2312" w:eastAsia="仿宋_GB2312"/>
          <w:sz w:val="32"/>
          <w:szCs w:val="32"/>
          <w:u w:val="none" w:color="auto"/>
        </w:rPr>
        <w:t>）负责</w:t>
      </w:r>
      <w:r>
        <w:rPr>
          <w:rFonts w:hint="eastAsia" w:ascii="仿宋_GB2312" w:eastAsia="仿宋_GB2312"/>
          <w:sz w:val="32"/>
          <w:szCs w:val="32"/>
          <w:u w:val="none" w:color="auto"/>
          <w:lang w:eastAsia="zh-CN"/>
        </w:rPr>
        <w:t>组织</w:t>
      </w:r>
      <w:r>
        <w:rPr>
          <w:rFonts w:hint="eastAsia" w:ascii="仿宋_GB2312" w:eastAsia="仿宋_GB2312"/>
          <w:sz w:val="32"/>
          <w:szCs w:val="32"/>
          <w:u w:val="none" w:color="auto"/>
        </w:rPr>
        <w:t>学院国有资产清查</w:t>
      </w:r>
      <w:r>
        <w:rPr>
          <w:rFonts w:hint="eastAsia" w:ascii="仿宋_GB2312" w:eastAsia="仿宋_GB2312"/>
          <w:sz w:val="32"/>
          <w:szCs w:val="32"/>
          <w:u w:val="none" w:color="auto"/>
          <w:lang w:eastAsia="zh-CN"/>
        </w:rPr>
        <w:t>、</w:t>
      </w:r>
      <w:r>
        <w:rPr>
          <w:rFonts w:hint="eastAsia" w:ascii="仿宋_GB2312" w:eastAsia="仿宋_GB2312"/>
          <w:sz w:val="32"/>
          <w:szCs w:val="32"/>
          <w:u w:val="none" w:color="auto"/>
        </w:rPr>
        <w:t>评估及划转工作。</w:t>
      </w:r>
    </w:p>
    <w:p>
      <w:pPr>
        <w:keepNext w:val="0"/>
        <w:keepLines w:val="0"/>
        <w:pageBreakBefore w:val="0"/>
        <w:kinsoku/>
        <w:wordWrap/>
        <w:overflowPunct/>
        <w:topLinePunct w:val="0"/>
        <w:bidi w:val="0"/>
        <w:snapToGrid/>
        <w:spacing w:line="580" w:lineRule="exact"/>
        <w:ind w:firstLine="640" w:firstLineChars="200"/>
        <w:textAlignment w:val="auto"/>
        <w:rPr>
          <w:rFonts w:ascii="仿宋_GB2312" w:eastAsia="仿宋_GB2312"/>
          <w:color w:val="auto"/>
          <w:sz w:val="32"/>
          <w:szCs w:val="32"/>
          <w:u w:val="none" w:color="auto"/>
        </w:rPr>
      </w:pPr>
      <w:r>
        <w:rPr>
          <w:rFonts w:hint="eastAsia" w:ascii="仿宋_GB2312" w:eastAsia="仿宋_GB2312"/>
          <w:color w:val="auto"/>
          <w:sz w:val="32"/>
          <w:szCs w:val="32"/>
          <w:u w:val="none" w:color="auto"/>
        </w:rPr>
        <w:t>（</w:t>
      </w:r>
      <w:r>
        <w:rPr>
          <w:rFonts w:hint="eastAsia" w:ascii="仿宋_GB2312" w:eastAsia="仿宋_GB2312"/>
          <w:color w:val="auto"/>
          <w:sz w:val="32"/>
          <w:szCs w:val="32"/>
          <w:u w:val="none" w:color="auto"/>
          <w:lang w:eastAsia="zh-CN"/>
        </w:rPr>
        <w:t>六</w:t>
      </w:r>
      <w:r>
        <w:rPr>
          <w:rFonts w:hint="eastAsia" w:ascii="仿宋_GB2312" w:eastAsia="仿宋_GB2312"/>
          <w:color w:val="auto"/>
          <w:sz w:val="32"/>
          <w:szCs w:val="32"/>
          <w:u w:val="none" w:color="auto"/>
        </w:rPr>
        <w:t>）负责办理学院固定资产配置</w:t>
      </w:r>
      <w:r>
        <w:rPr>
          <w:rFonts w:hint="eastAsia" w:ascii="仿宋_GB2312" w:eastAsia="仿宋_GB2312"/>
          <w:color w:val="auto"/>
          <w:sz w:val="32"/>
          <w:szCs w:val="32"/>
          <w:u w:val="none" w:color="auto"/>
          <w:lang w:val="en-US" w:eastAsia="zh-CN"/>
        </w:rPr>
        <w:t>、</w:t>
      </w:r>
      <w:r>
        <w:rPr>
          <w:rFonts w:hint="eastAsia" w:ascii="仿宋_GB2312" w:eastAsia="仿宋_GB2312"/>
          <w:color w:val="auto"/>
          <w:sz w:val="32"/>
          <w:szCs w:val="32"/>
          <w:u w:val="none" w:color="auto"/>
        </w:rPr>
        <w:t>调拨、转让、报损、报废等事项的审核或报备、报批手续。</w:t>
      </w:r>
    </w:p>
    <w:p>
      <w:pPr>
        <w:keepNext w:val="0"/>
        <w:keepLines w:val="0"/>
        <w:pageBreakBefore w:val="0"/>
        <w:kinsoku/>
        <w:wordWrap/>
        <w:overflowPunct/>
        <w:topLinePunct w:val="0"/>
        <w:bidi w:val="0"/>
        <w:snapToGrid/>
        <w:spacing w:line="580" w:lineRule="exact"/>
        <w:ind w:firstLine="640" w:firstLineChars="200"/>
        <w:textAlignment w:val="auto"/>
        <w:rPr>
          <w:rFonts w:ascii="仿宋_GB2312" w:eastAsia="仿宋_GB2312"/>
          <w:sz w:val="32"/>
          <w:szCs w:val="32"/>
          <w:u w:val="none" w:color="auto"/>
        </w:rPr>
      </w:pPr>
      <w:r>
        <w:rPr>
          <w:rFonts w:hint="eastAsia" w:ascii="仿宋_GB2312" w:eastAsia="仿宋_GB2312"/>
          <w:sz w:val="32"/>
          <w:szCs w:val="32"/>
          <w:u w:val="none" w:color="auto"/>
        </w:rPr>
        <w:t>（</w:t>
      </w:r>
      <w:r>
        <w:rPr>
          <w:rFonts w:hint="eastAsia" w:ascii="仿宋_GB2312" w:eastAsia="仿宋_GB2312"/>
          <w:sz w:val="32"/>
          <w:szCs w:val="32"/>
          <w:u w:val="none" w:color="auto"/>
          <w:lang w:eastAsia="zh-CN"/>
        </w:rPr>
        <w:t>七</w:t>
      </w:r>
      <w:r>
        <w:rPr>
          <w:rFonts w:hint="eastAsia" w:ascii="仿宋_GB2312" w:eastAsia="仿宋_GB2312"/>
          <w:sz w:val="32"/>
          <w:szCs w:val="32"/>
          <w:u w:val="none" w:color="auto"/>
        </w:rPr>
        <w:t>）负责督促学院国有资产的有效利用，建立国有资产共享共用机制，促进大型仪</w:t>
      </w:r>
      <w:r>
        <w:rPr>
          <w:rFonts w:hint="eastAsia" w:ascii="仿宋_GB2312" w:eastAsia="仿宋_GB2312"/>
          <w:sz w:val="32"/>
          <w:szCs w:val="32"/>
          <w:u w:val="none" w:color="auto"/>
          <w:lang w:eastAsia="zh-CN"/>
        </w:rPr>
        <w:t>器</w:t>
      </w:r>
      <w:r>
        <w:rPr>
          <w:rFonts w:hint="eastAsia" w:ascii="仿宋_GB2312" w:eastAsia="仿宋_GB2312"/>
          <w:sz w:val="32"/>
          <w:szCs w:val="32"/>
          <w:u w:val="none" w:color="auto"/>
        </w:rPr>
        <w:t>设备等资产共享、共用和公共平台建设工作。</w:t>
      </w:r>
    </w:p>
    <w:p>
      <w:pPr>
        <w:keepNext w:val="0"/>
        <w:keepLines w:val="0"/>
        <w:pageBreakBefore w:val="0"/>
        <w:kinsoku/>
        <w:wordWrap/>
        <w:overflowPunct/>
        <w:topLinePunct w:val="0"/>
        <w:bidi w:val="0"/>
        <w:snapToGrid/>
        <w:spacing w:line="580" w:lineRule="exact"/>
        <w:ind w:firstLine="640" w:firstLineChars="200"/>
        <w:textAlignment w:val="auto"/>
        <w:rPr>
          <w:rFonts w:hint="eastAsia" w:ascii="仿宋_GB2312" w:eastAsia="仿宋_GB2312"/>
          <w:sz w:val="32"/>
          <w:szCs w:val="32"/>
          <w:u w:val="none" w:color="auto"/>
        </w:rPr>
      </w:pPr>
      <w:r>
        <w:rPr>
          <w:rFonts w:hint="eastAsia" w:ascii="仿宋_GB2312" w:eastAsia="仿宋_GB2312"/>
          <w:sz w:val="32"/>
          <w:szCs w:val="32"/>
          <w:u w:val="none" w:color="auto"/>
        </w:rPr>
        <w:t>（</w:t>
      </w:r>
      <w:r>
        <w:rPr>
          <w:rFonts w:hint="eastAsia" w:ascii="仿宋_GB2312" w:eastAsia="仿宋_GB2312"/>
          <w:sz w:val="32"/>
          <w:szCs w:val="32"/>
          <w:u w:val="none" w:color="auto"/>
          <w:lang w:eastAsia="zh-CN"/>
        </w:rPr>
        <w:t>八</w:t>
      </w:r>
      <w:r>
        <w:rPr>
          <w:rFonts w:hint="eastAsia" w:ascii="仿宋_GB2312" w:eastAsia="仿宋_GB2312"/>
          <w:sz w:val="32"/>
          <w:szCs w:val="32"/>
          <w:u w:val="none" w:color="auto"/>
        </w:rPr>
        <w:t>）负责学</w:t>
      </w:r>
      <w:r>
        <w:rPr>
          <w:rFonts w:hint="eastAsia" w:ascii="仿宋_GB2312" w:eastAsia="仿宋_GB2312"/>
          <w:sz w:val="32"/>
          <w:szCs w:val="32"/>
          <w:u w:val="none" w:color="auto"/>
          <w:lang w:eastAsia="zh-CN"/>
        </w:rPr>
        <w:t>院</w:t>
      </w:r>
      <w:r>
        <w:rPr>
          <w:rFonts w:hint="eastAsia" w:ascii="仿宋_GB2312" w:eastAsia="仿宋_GB2312"/>
          <w:sz w:val="32"/>
          <w:szCs w:val="32"/>
          <w:u w:val="none" w:color="auto"/>
        </w:rPr>
        <w:t>资产信息化平台建设与日常维护工作，对学院各部门资产管理与使用情况进行监督检查、</w:t>
      </w:r>
      <w:r>
        <w:rPr>
          <w:rFonts w:hint="eastAsia" w:ascii="仿宋_GB2312" w:eastAsia="仿宋_GB2312"/>
          <w:color w:val="auto"/>
          <w:sz w:val="32"/>
          <w:szCs w:val="32"/>
          <w:u w:val="none" w:color="auto"/>
        </w:rPr>
        <w:t>评价与绩效考核工作</w:t>
      </w:r>
      <w:r>
        <w:rPr>
          <w:rFonts w:hint="eastAsia" w:ascii="仿宋_GB2312" w:eastAsia="仿宋_GB2312"/>
          <w:sz w:val="32"/>
          <w:szCs w:val="32"/>
          <w:u w:val="none" w:color="auto"/>
        </w:rPr>
        <w:t>。</w:t>
      </w:r>
    </w:p>
    <w:p>
      <w:pPr>
        <w:keepNext w:val="0"/>
        <w:keepLines w:val="0"/>
        <w:pageBreakBefore w:val="0"/>
        <w:numPr>
          <w:ilvl w:val="0"/>
          <w:numId w:val="0"/>
        </w:numPr>
        <w:tabs>
          <w:tab w:val="left" w:pos="0"/>
        </w:tabs>
        <w:kinsoku/>
        <w:wordWrap/>
        <w:overflowPunct/>
        <w:topLinePunct w:val="0"/>
        <w:bidi w:val="0"/>
        <w:snapToGrid/>
        <w:spacing w:line="580" w:lineRule="exact"/>
        <w:ind w:left="-10" w:leftChars="0" w:firstLine="640" w:firstLineChars="0"/>
        <w:textAlignment w:val="auto"/>
        <w:rPr>
          <w:rFonts w:ascii="仿宋_GB2312" w:eastAsia="仿宋_GB2312"/>
          <w:sz w:val="32"/>
          <w:szCs w:val="32"/>
          <w:u w:val="none" w:color="auto"/>
        </w:rPr>
      </w:pPr>
      <w:r>
        <w:rPr>
          <w:rFonts w:hint="eastAsia" w:ascii="仿宋_GB2312" w:hAnsi="仿宋" w:eastAsia="仿宋_GB2312" w:cs="Times New Roman"/>
          <w:b/>
          <w:bCs/>
          <w:sz w:val="32"/>
          <w:szCs w:val="20"/>
          <w:u w:val="none" w:color="auto"/>
          <w:lang w:val="en-US" w:eastAsia="zh-CN"/>
        </w:rPr>
        <w:t>第八条</w:t>
      </w:r>
      <w:r>
        <w:rPr>
          <w:rFonts w:hint="eastAsia" w:ascii="仿宋" w:hAnsi="仿宋" w:eastAsia="仿宋" w:cs="仿宋"/>
          <w:b/>
          <w:kern w:val="2"/>
          <w:sz w:val="32"/>
          <w:szCs w:val="32"/>
          <w:u w:val="none" w:color="auto"/>
          <w:lang w:val="en-US" w:eastAsia="zh-CN" w:bidi="ar-SA"/>
        </w:rPr>
        <w:t xml:space="preserve"> </w:t>
      </w:r>
      <w:r>
        <w:rPr>
          <w:rFonts w:ascii="仿宋_GB2312" w:hAnsi="仿宋" w:eastAsia="仿宋_GB2312" w:cs="Times New Roman"/>
          <w:sz w:val="32"/>
          <w:szCs w:val="20"/>
          <w:u w:val="none" w:color="auto"/>
        </w:rPr>
        <w:t>学</w:t>
      </w:r>
      <w:r>
        <w:rPr>
          <w:rFonts w:hint="eastAsia" w:ascii="仿宋_GB2312" w:hAnsi="仿宋" w:eastAsia="仿宋_GB2312" w:cs="Times New Roman"/>
          <w:sz w:val="32"/>
          <w:szCs w:val="20"/>
          <w:u w:val="none" w:color="auto"/>
          <w:lang w:eastAsia="zh-CN"/>
        </w:rPr>
        <w:t>院按照“谁申购、谁管理”的原则开展国有资产管理工作，学院公共国有资产根据各部门工作职责</w:t>
      </w:r>
      <w:r>
        <w:rPr>
          <w:rFonts w:ascii="仿宋_GB2312" w:hAnsi="仿宋" w:eastAsia="仿宋_GB2312" w:cs="Times New Roman"/>
          <w:sz w:val="32"/>
          <w:szCs w:val="20"/>
          <w:u w:val="none" w:color="auto"/>
        </w:rPr>
        <w:t>进行归口</w:t>
      </w:r>
      <w:r>
        <w:rPr>
          <w:rFonts w:hint="eastAsia" w:ascii="仿宋_GB2312" w:hAnsi="仿宋" w:eastAsia="仿宋_GB2312" w:cs="Times New Roman"/>
          <w:sz w:val="32"/>
          <w:szCs w:val="20"/>
          <w:u w:val="none" w:color="auto"/>
        </w:rPr>
        <w:t>管理</w:t>
      </w:r>
      <w:r>
        <w:rPr>
          <w:rFonts w:hint="eastAsia" w:ascii="仿宋_GB2312" w:hAnsi="仿宋" w:eastAsia="仿宋_GB2312" w:cs="Times New Roman"/>
          <w:sz w:val="32"/>
          <w:szCs w:val="20"/>
          <w:u w:val="none" w:color="auto"/>
          <w:lang w:eastAsia="zh-CN"/>
        </w:rPr>
        <w:t>。</w:t>
      </w:r>
      <w:r>
        <w:rPr>
          <w:rFonts w:hint="eastAsia" w:ascii="仿宋_GB2312" w:eastAsia="仿宋_GB2312"/>
          <w:sz w:val="32"/>
          <w:szCs w:val="32"/>
          <w:u w:val="none" w:color="auto"/>
        </w:rPr>
        <w:t>主要职责是：</w:t>
      </w:r>
    </w:p>
    <w:p>
      <w:pPr>
        <w:keepNext w:val="0"/>
        <w:keepLines w:val="0"/>
        <w:pageBreakBefore w:val="0"/>
        <w:kinsoku/>
        <w:wordWrap/>
        <w:overflowPunct/>
        <w:topLinePunct w:val="0"/>
        <w:bidi w:val="0"/>
        <w:snapToGrid/>
        <w:spacing w:line="580" w:lineRule="exact"/>
        <w:ind w:firstLine="640" w:firstLineChars="200"/>
        <w:textAlignment w:val="auto"/>
        <w:rPr>
          <w:rFonts w:hint="eastAsia" w:ascii="仿宋_GB2312" w:eastAsia="仿宋_GB2312"/>
          <w:sz w:val="32"/>
          <w:szCs w:val="32"/>
          <w:u w:val="none" w:color="auto"/>
        </w:rPr>
      </w:pPr>
      <w:r>
        <w:rPr>
          <w:rFonts w:hint="eastAsia" w:ascii="仿宋_GB2312" w:eastAsia="仿宋_GB2312"/>
          <w:sz w:val="32"/>
          <w:szCs w:val="32"/>
          <w:u w:val="none" w:color="auto"/>
          <w:lang w:val="en-US" w:eastAsia="zh-CN"/>
        </w:rPr>
        <w:t>（一）</w:t>
      </w:r>
      <w:r>
        <w:rPr>
          <w:rFonts w:hint="eastAsia" w:ascii="仿宋_GB2312" w:eastAsia="仿宋_GB2312"/>
          <w:sz w:val="32"/>
          <w:szCs w:val="32"/>
          <w:u w:val="none" w:color="auto"/>
        </w:rPr>
        <w:t>根据国家</w:t>
      </w:r>
      <w:r>
        <w:rPr>
          <w:rFonts w:hint="eastAsia" w:ascii="仿宋_GB2312" w:eastAsia="仿宋_GB2312"/>
          <w:sz w:val="32"/>
          <w:szCs w:val="32"/>
          <w:u w:val="none" w:color="auto"/>
          <w:lang w:eastAsia="zh-CN"/>
        </w:rPr>
        <w:t>、</w:t>
      </w:r>
      <w:r>
        <w:rPr>
          <w:rFonts w:hint="eastAsia" w:ascii="仿宋_GB2312" w:eastAsia="仿宋_GB2312"/>
          <w:sz w:val="32"/>
          <w:szCs w:val="32"/>
          <w:u w:val="none" w:color="auto"/>
        </w:rPr>
        <w:t>上级管理部门</w:t>
      </w:r>
      <w:r>
        <w:rPr>
          <w:rFonts w:hint="eastAsia" w:ascii="仿宋_GB2312" w:eastAsia="仿宋_GB2312"/>
          <w:sz w:val="32"/>
          <w:szCs w:val="32"/>
          <w:u w:val="none" w:color="auto"/>
          <w:lang w:eastAsia="zh-CN"/>
        </w:rPr>
        <w:t>及本办法</w:t>
      </w:r>
      <w:r>
        <w:rPr>
          <w:rFonts w:hint="eastAsia" w:ascii="仿宋_GB2312" w:eastAsia="仿宋_GB2312"/>
          <w:sz w:val="32"/>
          <w:szCs w:val="32"/>
          <w:u w:val="none" w:color="auto"/>
        </w:rPr>
        <w:t>有关国有资产管理的法律、法规和政策，制订归口负责</w:t>
      </w:r>
      <w:r>
        <w:rPr>
          <w:rFonts w:hint="eastAsia" w:ascii="仿宋_GB2312" w:eastAsia="仿宋_GB2312"/>
          <w:sz w:val="32"/>
          <w:szCs w:val="32"/>
          <w:u w:val="none" w:color="auto"/>
          <w:lang w:eastAsia="zh-CN"/>
        </w:rPr>
        <w:t>国有</w:t>
      </w:r>
      <w:r>
        <w:rPr>
          <w:rFonts w:hint="eastAsia" w:ascii="仿宋_GB2312" w:eastAsia="仿宋_GB2312"/>
          <w:sz w:val="32"/>
          <w:szCs w:val="32"/>
          <w:u w:val="none" w:color="auto"/>
        </w:rPr>
        <w:t>资产的具体管理办法和业务工作流程。</w:t>
      </w:r>
    </w:p>
    <w:p>
      <w:pPr>
        <w:keepNext w:val="0"/>
        <w:keepLines w:val="0"/>
        <w:pageBreakBefore w:val="0"/>
        <w:kinsoku/>
        <w:wordWrap/>
        <w:overflowPunct/>
        <w:topLinePunct w:val="0"/>
        <w:bidi w:val="0"/>
        <w:snapToGrid/>
        <w:spacing w:line="580" w:lineRule="exact"/>
        <w:ind w:firstLine="640" w:firstLineChars="200"/>
        <w:textAlignment w:val="auto"/>
        <w:rPr>
          <w:rFonts w:hint="eastAsia" w:ascii="仿宋_GB2312" w:eastAsia="仿宋_GB2312"/>
          <w:sz w:val="32"/>
          <w:szCs w:val="32"/>
          <w:u w:val="none" w:color="auto"/>
        </w:rPr>
      </w:pPr>
      <w:r>
        <w:rPr>
          <w:rFonts w:hint="eastAsia" w:ascii="仿宋_GB2312" w:eastAsia="仿宋_GB2312"/>
          <w:sz w:val="32"/>
          <w:szCs w:val="32"/>
          <w:u w:val="none" w:color="auto"/>
        </w:rPr>
        <w:t>（</w:t>
      </w:r>
      <w:r>
        <w:rPr>
          <w:rFonts w:hint="eastAsia" w:ascii="仿宋_GB2312" w:eastAsia="仿宋_GB2312"/>
          <w:sz w:val="32"/>
          <w:szCs w:val="32"/>
          <w:u w:val="none" w:color="auto"/>
          <w:lang w:eastAsia="zh-CN"/>
        </w:rPr>
        <w:t>二</w:t>
      </w:r>
      <w:r>
        <w:rPr>
          <w:rFonts w:hint="eastAsia" w:ascii="仿宋_GB2312" w:eastAsia="仿宋_GB2312"/>
          <w:sz w:val="32"/>
          <w:szCs w:val="32"/>
          <w:u w:val="none" w:color="auto"/>
        </w:rPr>
        <w:t>）组织、检查和监督归口管理</w:t>
      </w:r>
      <w:r>
        <w:rPr>
          <w:rFonts w:hint="eastAsia" w:ascii="仿宋_GB2312" w:eastAsia="仿宋_GB2312"/>
          <w:sz w:val="32"/>
          <w:szCs w:val="32"/>
          <w:u w:val="none" w:color="auto"/>
          <w:lang w:eastAsia="zh-CN"/>
        </w:rPr>
        <w:t>国有</w:t>
      </w:r>
      <w:r>
        <w:rPr>
          <w:rFonts w:hint="eastAsia" w:ascii="仿宋_GB2312" w:eastAsia="仿宋_GB2312"/>
          <w:sz w:val="32"/>
          <w:szCs w:val="32"/>
          <w:u w:val="none" w:color="auto"/>
        </w:rPr>
        <w:t>资产的日常管理。</w:t>
      </w:r>
    </w:p>
    <w:p>
      <w:pPr>
        <w:keepNext w:val="0"/>
        <w:keepLines w:val="0"/>
        <w:pageBreakBefore w:val="0"/>
        <w:kinsoku/>
        <w:wordWrap/>
        <w:overflowPunct/>
        <w:topLinePunct w:val="0"/>
        <w:bidi w:val="0"/>
        <w:snapToGrid/>
        <w:spacing w:line="580" w:lineRule="exact"/>
        <w:ind w:firstLine="640" w:firstLineChars="200"/>
        <w:textAlignment w:val="auto"/>
        <w:rPr>
          <w:rFonts w:hint="eastAsia" w:ascii="仿宋_GB2312" w:eastAsia="仿宋_GB2312"/>
          <w:sz w:val="32"/>
          <w:szCs w:val="32"/>
          <w:u w:val="none" w:color="auto"/>
        </w:rPr>
      </w:pPr>
      <w:r>
        <w:rPr>
          <w:rFonts w:hint="eastAsia" w:ascii="仿宋_GB2312" w:eastAsia="仿宋_GB2312"/>
          <w:sz w:val="32"/>
          <w:szCs w:val="32"/>
          <w:u w:val="none" w:color="auto"/>
        </w:rPr>
        <w:t>（</w:t>
      </w:r>
      <w:r>
        <w:rPr>
          <w:rFonts w:hint="eastAsia" w:ascii="仿宋_GB2312" w:eastAsia="仿宋_GB2312"/>
          <w:sz w:val="32"/>
          <w:szCs w:val="32"/>
          <w:u w:val="none" w:color="auto"/>
          <w:lang w:eastAsia="zh-CN"/>
        </w:rPr>
        <w:t>三</w:t>
      </w:r>
      <w:r>
        <w:rPr>
          <w:rFonts w:hint="eastAsia" w:ascii="仿宋_GB2312" w:eastAsia="仿宋_GB2312"/>
          <w:sz w:val="32"/>
          <w:szCs w:val="32"/>
          <w:u w:val="none" w:color="auto"/>
        </w:rPr>
        <w:t>）定期组织归口管理</w:t>
      </w:r>
      <w:r>
        <w:rPr>
          <w:rFonts w:hint="eastAsia" w:ascii="仿宋_GB2312" w:eastAsia="仿宋_GB2312"/>
          <w:sz w:val="32"/>
          <w:szCs w:val="32"/>
          <w:u w:val="none" w:color="auto"/>
          <w:lang w:eastAsia="zh-CN"/>
        </w:rPr>
        <w:t>国有</w:t>
      </w:r>
      <w:r>
        <w:rPr>
          <w:rFonts w:hint="eastAsia" w:ascii="仿宋_GB2312" w:eastAsia="仿宋_GB2312"/>
          <w:sz w:val="32"/>
          <w:szCs w:val="32"/>
          <w:u w:val="none" w:color="auto"/>
        </w:rPr>
        <w:t>资产的清查工作。</w:t>
      </w:r>
    </w:p>
    <w:p>
      <w:pPr>
        <w:keepNext w:val="0"/>
        <w:keepLines w:val="0"/>
        <w:pageBreakBefore w:val="0"/>
        <w:kinsoku/>
        <w:wordWrap/>
        <w:overflowPunct/>
        <w:topLinePunct w:val="0"/>
        <w:bidi w:val="0"/>
        <w:snapToGrid/>
        <w:spacing w:line="580" w:lineRule="exact"/>
        <w:ind w:firstLine="640" w:firstLineChars="200"/>
        <w:textAlignment w:val="auto"/>
        <w:rPr>
          <w:rFonts w:hint="eastAsia" w:ascii="仿宋_GB2312" w:eastAsia="仿宋_GB2312"/>
          <w:sz w:val="32"/>
          <w:szCs w:val="32"/>
          <w:u w:val="none" w:color="auto"/>
        </w:rPr>
      </w:pPr>
      <w:r>
        <w:rPr>
          <w:rFonts w:hint="eastAsia" w:ascii="仿宋_GB2312" w:eastAsia="仿宋_GB2312"/>
          <w:sz w:val="32"/>
          <w:szCs w:val="32"/>
          <w:u w:val="none" w:color="auto"/>
        </w:rPr>
        <w:t>（</w:t>
      </w:r>
      <w:r>
        <w:rPr>
          <w:rFonts w:hint="eastAsia" w:ascii="仿宋_GB2312" w:eastAsia="仿宋_GB2312"/>
          <w:sz w:val="32"/>
          <w:szCs w:val="32"/>
          <w:u w:val="none" w:color="auto"/>
          <w:lang w:eastAsia="zh-CN"/>
        </w:rPr>
        <w:t>四</w:t>
      </w:r>
      <w:r>
        <w:rPr>
          <w:rFonts w:hint="eastAsia" w:ascii="仿宋_GB2312" w:eastAsia="仿宋_GB2312"/>
          <w:sz w:val="32"/>
          <w:szCs w:val="32"/>
          <w:u w:val="none" w:color="auto"/>
        </w:rPr>
        <w:t>）</w:t>
      </w:r>
      <w:r>
        <w:rPr>
          <w:rFonts w:ascii="仿宋_GB2312" w:eastAsia="仿宋_GB2312"/>
          <w:color w:val="auto"/>
          <w:sz w:val="32"/>
          <w:szCs w:val="32"/>
          <w:highlight w:val="none"/>
          <w:u w:val="none" w:color="auto"/>
        </w:rPr>
        <w:t>参与归口管理</w:t>
      </w:r>
      <w:r>
        <w:rPr>
          <w:rFonts w:hint="eastAsia" w:ascii="仿宋_GB2312" w:eastAsia="仿宋_GB2312"/>
          <w:sz w:val="32"/>
          <w:szCs w:val="32"/>
          <w:u w:val="none" w:color="auto"/>
          <w:lang w:eastAsia="zh-CN"/>
        </w:rPr>
        <w:t>国有</w:t>
      </w:r>
      <w:r>
        <w:rPr>
          <w:rFonts w:ascii="仿宋_GB2312" w:eastAsia="仿宋_GB2312"/>
          <w:color w:val="auto"/>
          <w:sz w:val="32"/>
          <w:szCs w:val="32"/>
          <w:highlight w:val="none"/>
          <w:u w:val="none" w:color="auto"/>
        </w:rPr>
        <w:t>资产的</w:t>
      </w:r>
      <w:r>
        <w:rPr>
          <w:rFonts w:hint="eastAsia" w:ascii="仿宋_GB2312" w:eastAsia="仿宋_GB2312"/>
          <w:strike w:val="0"/>
          <w:dstrike w:val="0"/>
          <w:color w:val="auto"/>
          <w:sz w:val="32"/>
          <w:szCs w:val="32"/>
          <w:highlight w:val="none"/>
          <w:u w:val="none" w:color="auto"/>
          <w:lang w:eastAsia="zh-CN"/>
        </w:rPr>
        <w:t>采购</w:t>
      </w:r>
      <w:r>
        <w:rPr>
          <w:rFonts w:ascii="仿宋_GB2312" w:eastAsia="仿宋_GB2312"/>
          <w:strike w:val="0"/>
          <w:dstrike w:val="0"/>
          <w:color w:val="auto"/>
          <w:sz w:val="32"/>
          <w:szCs w:val="32"/>
          <w:highlight w:val="none"/>
          <w:u w:val="none" w:color="auto"/>
        </w:rPr>
        <w:t>、验收</w:t>
      </w:r>
      <w:r>
        <w:rPr>
          <w:rFonts w:ascii="仿宋_GB2312" w:eastAsia="仿宋_GB2312"/>
          <w:color w:val="auto"/>
          <w:sz w:val="32"/>
          <w:szCs w:val="32"/>
          <w:highlight w:val="none"/>
          <w:u w:val="none" w:color="auto"/>
        </w:rPr>
        <w:t>工作，负责归口管理资产的科学配置、有效利用和资产的安全完整</w:t>
      </w:r>
      <w:r>
        <w:rPr>
          <w:rFonts w:hint="eastAsia" w:ascii="仿宋_GB2312" w:eastAsia="仿宋_GB2312"/>
          <w:color w:val="auto"/>
          <w:sz w:val="32"/>
          <w:szCs w:val="32"/>
          <w:highlight w:val="none"/>
          <w:u w:val="none" w:color="auto"/>
        </w:rPr>
        <w:t>。</w:t>
      </w:r>
    </w:p>
    <w:p>
      <w:pPr>
        <w:keepNext w:val="0"/>
        <w:keepLines w:val="0"/>
        <w:pageBreakBefore w:val="0"/>
        <w:kinsoku/>
        <w:wordWrap/>
        <w:overflowPunct/>
        <w:topLinePunct w:val="0"/>
        <w:bidi w:val="0"/>
        <w:snapToGrid/>
        <w:spacing w:line="580" w:lineRule="exact"/>
        <w:ind w:firstLine="640" w:firstLineChars="200"/>
        <w:textAlignment w:val="auto"/>
        <w:rPr>
          <w:rFonts w:hint="eastAsia" w:ascii="仿宋_GB2312" w:eastAsia="仿宋_GB2312"/>
          <w:sz w:val="32"/>
          <w:szCs w:val="32"/>
          <w:u w:val="none" w:color="auto"/>
        </w:rPr>
      </w:pPr>
      <w:r>
        <w:rPr>
          <w:rFonts w:hint="eastAsia" w:ascii="仿宋_GB2312" w:eastAsia="仿宋_GB2312"/>
          <w:sz w:val="32"/>
          <w:szCs w:val="32"/>
          <w:u w:val="none" w:color="auto"/>
          <w:lang w:eastAsia="zh-CN"/>
        </w:rPr>
        <w:t>（五）</w:t>
      </w:r>
      <w:r>
        <w:rPr>
          <w:rFonts w:hint="eastAsia" w:ascii="仿宋_GB2312" w:eastAsia="仿宋_GB2312"/>
          <w:sz w:val="32"/>
          <w:szCs w:val="32"/>
          <w:u w:val="none" w:color="auto"/>
        </w:rPr>
        <w:t>负责归口</w:t>
      </w:r>
      <w:r>
        <w:rPr>
          <w:rFonts w:hint="eastAsia" w:ascii="仿宋_GB2312" w:eastAsia="仿宋_GB2312"/>
          <w:sz w:val="32"/>
          <w:szCs w:val="32"/>
          <w:u w:val="none" w:color="auto"/>
          <w:lang w:eastAsia="zh-CN"/>
        </w:rPr>
        <w:t>国有</w:t>
      </w:r>
      <w:r>
        <w:rPr>
          <w:rFonts w:hint="eastAsia" w:ascii="仿宋_GB2312" w:eastAsia="仿宋_GB2312"/>
          <w:sz w:val="32"/>
          <w:szCs w:val="32"/>
          <w:u w:val="none" w:color="auto"/>
        </w:rPr>
        <w:t>资产统计报表的汇总上报。</w:t>
      </w:r>
    </w:p>
    <w:p>
      <w:pPr>
        <w:keepNext w:val="0"/>
        <w:keepLines w:val="0"/>
        <w:pageBreakBefore w:val="0"/>
        <w:kinsoku/>
        <w:wordWrap/>
        <w:overflowPunct/>
        <w:topLinePunct w:val="0"/>
        <w:bidi w:val="0"/>
        <w:snapToGrid/>
        <w:spacing w:line="580" w:lineRule="exact"/>
        <w:ind w:firstLine="640" w:firstLineChars="200"/>
        <w:textAlignment w:val="auto"/>
        <w:rPr>
          <w:rFonts w:hint="eastAsia" w:ascii="仿宋_GB2312" w:eastAsia="仿宋_GB2312"/>
          <w:sz w:val="32"/>
          <w:szCs w:val="32"/>
          <w:u w:val="none" w:color="auto"/>
        </w:rPr>
      </w:pPr>
      <w:r>
        <w:rPr>
          <w:rFonts w:hint="eastAsia" w:ascii="仿宋_GB2312" w:eastAsia="仿宋_GB2312"/>
          <w:sz w:val="32"/>
          <w:szCs w:val="32"/>
          <w:u w:val="none" w:color="auto"/>
        </w:rPr>
        <w:t>（</w:t>
      </w:r>
      <w:r>
        <w:rPr>
          <w:rFonts w:hint="eastAsia" w:ascii="仿宋_GB2312" w:eastAsia="仿宋_GB2312"/>
          <w:sz w:val="32"/>
          <w:szCs w:val="32"/>
          <w:u w:val="none" w:color="auto"/>
          <w:lang w:eastAsia="zh-CN"/>
        </w:rPr>
        <w:t>六</w:t>
      </w:r>
      <w:r>
        <w:rPr>
          <w:rFonts w:hint="eastAsia" w:ascii="仿宋_GB2312" w:eastAsia="仿宋_GB2312"/>
          <w:sz w:val="32"/>
          <w:szCs w:val="32"/>
          <w:u w:val="none" w:color="auto"/>
        </w:rPr>
        <w:t>）其他归口管理工作。</w:t>
      </w:r>
    </w:p>
    <w:p>
      <w:pPr>
        <w:spacing w:line="580" w:lineRule="exact"/>
        <w:ind w:firstLine="640" w:firstLineChars="200"/>
        <w:rPr>
          <w:rFonts w:ascii="仿宋_GB2312" w:hAnsi="仿宋" w:eastAsia="仿宋_GB2312" w:cs="Times New Roman"/>
          <w:sz w:val="32"/>
          <w:szCs w:val="20"/>
          <w:u w:val="none" w:color="auto"/>
        </w:rPr>
      </w:pPr>
      <w:r>
        <w:rPr>
          <w:rFonts w:hint="eastAsia" w:ascii="仿宋_GB2312" w:hAnsi="仿宋" w:eastAsia="仿宋_GB2312" w:cs="Times New Roman"/>
          <w:sz w:val="32"/>
          <w:szCs w:val="20"/>
          <w:u w:val="none" w:color="auto"/>
        </w:rPr>
        <w:t xml:space="preserve"> </w:t>
      </w:r>
      <w:r>
        <w:rPr>
          <w:rFonts w:hint="eastAsia" w:ascii="仿宋_GB2312" w:hAnsi="仿宋" w:eastAsia="仿宋_GB2312" w:cs="Times New Roman"/>
          <w:b/>
          <w:bCs/>
          <w:sz w:val="32"/>
          <w:szCs w:val="20"/>
          <w:u w:val="none" w:color="auto"/>
          <w:lang w:eastAsia="zh-CN"/>
        </w:rPr>
        <w:t>第九条</w:t>
      </w:r>
      <w:r>
        <w:rPr>
          <w:rFonts w:hint="eastAsia" w:ascii="仿宋_GB2312" w:hAnsi="仿宋" w:eastAsia="仿宋_GB2312" w:cs="Times New Roman"/>
          <w:sz w:val="32"/>
          <w:szCs w:val="20"/>
          <w:u w:val="none" w:color="auto"/>
          <w:lang w:val="en-US" w:eastAsia="zh-CN"/>
        </w:rPr>
        <w:t xml:space="preserve"> </w:t>
      </w:r>
      <w:r>
        <w:rPr>
          <w:rFonts w:hint="eastAsia" w:ascii="仿宋_GB2312" w:eastAsia="仿宋_GB2312"/>
          <w:sz w:val="32"/>
          <w:szCs w:val="32"/>
          <w:u w:val="none" w:color="auto"/>
        </w:rPr>
        <w:t>归口部门管理的</w:t>
      </w:r>
      <w:r>
        <w:rPr>
          <w:rFonts w:hint="eastAsia" w:ascii="仿宋_GB2312" w:eastAsia="仿宋_GB2312"/>
          <w:sz w:val="32"/>
          <w:szCs w:val="32"/>
          <w:u w:val="none" w:color="auto"/>
          <w:lang w:eastAsia="zh-CN"/>
        </w:rPr>
        <w:t>国有</w:t>
      </w:r>
      <w:r>
        <w:rPr>
          <w:rFonts w:hint="eastAsia" w:ascii="仿宋_GB2312" w:eastAsia="仿宋_GB2312"/>
          <w:sz w:val="32"/>
          <w:szCs w:val="32"/>
          <w:u w:val="none" w:color="auto"/>
        </w:rPr>
        <w:t>资产，随</w:t>
      </w:r>
      <w:r>
        <w:rPr>
          <w:rFonts w:hint="eastAsia" w:ascii="仿宋_GB2312" w:eastAsia="仿宋_GB2312"/>
          <w:sz w:val="32"/>
          <w:szCs w:val="32"/>
          <w:u w:val="none" w:color="auto"/>
          <w:lang w:eastAsia="zh-CN"/>
        </w:rPr>
        <w:t>归口</w:t>
      </w:r>
      <w:r>
        <w:rPr>
          <w:rFonts w:hint="eastAsia" w:ascii="仿宋_GB2312" w:eastAsia="仿宋_GB2312"/>
          <w:sz w:val="32"/>
          <w:szCs w:val="32"/>
          <w:u w:val="none" w:color="auto"/>
        </w:rPr>
        <w:t>部门职</w:t>
      </w:r>
      <w:r>
        <w:rPr>
          <w:rFonts w:hint="eastAsia" w:ascii="仿宋_GB2312" w:eastAsia="仿宋_GB2312"/>
          <w:sz w:val="32"/>
          <w:szCs w:val="32"/>
          <w:u w:val="none" w:color="auto"/>
          <w:lang w:eastAsia="zh-CN"/>
        </w:rPr>
        <w:t>责</w:t>
      </w:r>
      <w:r>
        <w:rPr>
          <w:rFonts w:hint="eastAsia" w:ascii="仿宋_GB2312" w:eastAsia="仿宋_GB2312"/>
          <w:sz w:val="32"/>
          <w:szCs w:val="32"/>
          <w:u w:val="none" w:color="auto"/>
        </w:rPr>
        <w:t>调整而调整。</w:t>
      </w:r>
      <w:r>
        <w:rPr>
          <w:rFonts w:hint="eastAsia" w:ascii="仿宋_GB2312" w:hAnsi="仿宋" w:eastAsia="仿宋_GB2312" w:cs="Times New Roman"/>
          <w:sz w:val="32"/>
          <w:szCs w:val="20"/>
          <w:u w:val="none" w:color="auto"/>
        </w:rPr>
        <w:t>具体</w:t>
      </w:r>
      <w:r>
        <w:rPr>
          <w:rFonts w:ascii="仿宋_GB2312" w:hAnsi="仿宋" w:eastAsia="仿宋_GB2312" w:cs="Times New Roman"/>
          <w:sz w:val="32"/>
          <w:szCs w:val="20"/>
          <w:u w:val="none" w:color="auto"/>
        </w:rPr>
        <w:t>管理分工如下：</w:t>
      </w:r>
    </w:p>
    <w:p>
      <w:pPr>
        <w:spacing w:line="580" w:lineRule="exact"/>
        <w:ind w:firstLine="640" w:firstLineChars="200"/>
        <w:rPr>
          <w:rFonts w:hint="eastAsia" w:ascii="仿宋_GB2312" w:hAnsi="仿宋" w:eastAsia="仿宋_GB2312" w:cs="Times New Roman"/>
          <w:strike w:val="0"/>
          <w:dstrike w:val="0"/>
          <w:color w:val="FF0000"/>
          <w:sz w:val="32"/>
          <w:szCs w:val="20"/>
          <w:u w:val="none" w:color="auto"/>
          <w:lang w:eastAsia="zh-CN"/>
        </w:rPr>
      </w:pPr>
      <w:r>
        <w:rPr>
          <w:rFonts w:hint="eastAsia" w:ascii="仿宋_GB2312" w:eastAsia="仿宋_GB2312"/>
          <w:sz w:val="32"/>
          <w:szCs w:val="32"/>
          <w:u w:val="none" w:color="auto"/>
        </w:rPr>
        <w:t>（</w:t>
      </w:r>
      <w:r>
        <w:rPr>
          <w:rFonts w:hint="eastAsia" w:ascii="仿宋_GB2312" w:eastAsia="仿宋_GB2312"/>
          <w:sz w:val="32"/>
          <w:szCs w:val="32"/>
          <w:u w:val="none" w:color="auto"/>
          <w:lang w:eastAsia="zh-CN"/>
        </w:rPr>
        <w:t>一</w:t>
      </w:r>
      <w:r>
        <w:rPr>
          <w:rFonts w:hint="eastAsia" w:ascii="仿宋_GB2312" w:eastAsia="仿宋_GB2312"/>
          <w:sz w:val="32"/>
          <w:szCs w:val="32"/>
          <w:u w:val="none" w:color="auto"/>
        </w:rPr>
        <w:t>）</w:t>
      </w:r>
      <w:r>
        <w:rPr>
          <w:rFonts w:hint="eastAsia" w:ascii="仿宋_GB2312" w:eastAsia="仿宋_GB2312"/>
          <w:sz w:val="32"/>
          <w:szCs w:val="32"/>
          <w:u w:val="none" w:color="auto"/>
          <w:lang w:eastAsia="zh-CN"/>
        </w:rPr>
        <w:t>党委宣传部</w:t>
      </w:r>
      <w:r>
        <w:rPr>
          <w:rFonts w:ascii="仿宋_GB2312" w:hAnsi="仿宋" w:eastAsia="仿宋_GB2312" w:cs="Times New Roman"/>
          <w:sz w:val="32"/>
          <w:szCs w:val="20"/>
          <w:u w:val="none" w:color="auto"/>
        </w:rPr>
        <w:t>管理学</w:t>
      </w:r>
      <w:r>
        <w:rPr>
          <w:rFonts w:hint="eastAsia" w:ascii="仿宋_GB2312" w:hAnsi="仿宋" w:eastAsia="仿宋_GB2312" w:cs="Times New Roman"/>
          <w:sz w:val="32"/>
          <w:szCs w:val="20"/>
          <w:u w:val="none" w:color="auto"/>
          <w:lang w:eastAsia="zh-CN"/>
        </w:rPr>
        <w:t>院</w:t>
      </w:r>
      <w:r>
        <w:rPr>
          <w:rFonts w:ascii="仿宋_GB2312" w:hAnsi="仿宋" w:eastAsia="仿宋_GB2312" w:cs="Times New Roman"/>
          <w:sz w:val="32"/>
          <w:szCs w:val="20"/>
          <w:u w:val="none" w:color="auto"/>
        </w:rPr>
        <w:t>校名、校誉、校徽、学校标识类等无形资产</w:t>
      </w:r>
      <w:r>
        <w:rPr>
          <w:rFonts w:hint="eastAsia" w:ascii="仿宋_GB2312" w:hAnsi="仿宋" w:eastAsia="仿宋_GB2312" w:cs="Times New Roman"/>
          <w:sz w:val="32"/>
          <w:szCs w:val="20"/>
          <w:u w:val="none" w:color="auto"/>
          <w:lang w:eastAsia="zh-CN"/>
        </w:rPr>
        <w:t>。</w:t>
      </w:r>
    </w:p>
    <w:p>
      <w:pPr>
        <w:spacing w:line="580" w:lineRule="exact"/>
        <w:ind w:firstLine="640" w:firstLineChars="200"/>
        <w:rPr>
          <w:rFonts w:hint="eastAsia" w:ascii="仿宋_GB2312" w:hAnsi="仿宋" w:eastAsia="仿宋_GB2312" w:cs="Times New Roman"/>
          <w:sz w:val="32"/>
          <w:szCs w:val="20"/>
          <w:u w:val="none" w:color="auto"/>
          <w:lang w:eastAsia="zh-CN"/>
        </w:rPr>
      </w:pPr>
      <w:r>
        <w:rPr>
          <w:rFonts w:hint="eastAsia" w:ascii="仿宋_GB2312" w:eastAsia="仿宋_GB2312"/>
          <w:sz w:val="32"/>
          <w:szCs w:val="32"/>
          <w:u w:val="none" w:color="auto"/>
          <w:lang w:eastAsia="zh-CN"/>
        </w:rPr>
        <w:t>（二）教务处</w:t>
      </w:r>
      <w:r>
        <w:rPr>
          <w:rFonts w:ascii="仿宋_GB2312" w:hAnsi="仿宋" w:eastAsia="仿宋_GB2312" w:cs="Times New Roman"/>
          <w:sz w:val="32"/>
          <w:szCs w:val="20"/>
          <w:u w:val="none" w:color="auto"/>
        </w:rPr>
        <w:t>统筹管理校内实践教学场地、教学仪器设备</w:t>
      </w:r>
      <w:r>
        <w:rPr>
          <w:rFonts w:hint="eastAsia" w:ascii="仿宋_GB2312" w:hAnsi="仿宋" w:eastAsia="仿宋_GB2312" w:cs="Times New Roman"/>
          <w:sz w:val="32"/>
          <w:szCs w:val="20"/>
          <w:u w:val="none" w:color="auto"/>
        </w:rPr>
        <w:t>等固定资产</w:t>
      </w:r>
      <w:r>
        <w:rPr>
          <w:rFonts w:hint="eastAsia" w:ascii="仿宋_GB2312" w:hAnsi="仿宋" w:eastAsia="仿宋_GB2312" w:cs="Times New Roman"/>
          <w:sz w:val="32"/>
          <w:szCs w:val="20"/>
          <w:u w:val="none" w:color="auto"/>
          <w:lang w:eastAsia="zh-CN"/>
        </w:rPr>
        <w:t>；</w:t>
      </w:r>
      <w:r>
        <w:rPr>
          <w:rFonts w:hint="eastAsia" w:ascii="仿宋_GB2312" w:eastAsia="仿宋_GB2312"/>
          <w:b w:val="0"/>
          <w:bCs w:val="0"/>
          <w:color w:val="auto"/>
          <w:sz w:val="32"/>
          <w:szCs w:val="32"/>
          <w:highlight w:val="none"/>
          <w:u w:val="none" w:color="auto"/>
          <w:lang w:eastAsia="zh-CN"/>
        </w:rPr>
        <w:t>管理</w:t>
      </w:r>
      <w:r>
        <w:rPr>
          <w:rFonts w:hint="eastAsia" w:ascii="仿宋_GB2312" w:hAnsi="仿宋" w:eastAsia="仿宋_GB2312" w:cs="Times New Roman"/>
          <w:b w:val="0"/>
          <w:bCs w:val="0"/>
          <w:color w:val="auto"/>
          <w:sz w:val="32"/>
          <w:szCs w:val="20"/>
          <w:u w:val="none" w:color="auto"/>
        </w:rPr>
        <w:t>学</w:t>
      </w:r>
      <w:r>
        <w:rPr>
          <w:rFonts w:hint="eastAsia" w:ascii="仿宋_GB2312" w:hAnsi="仿宋" w:eastAsia="仿宋_GB2312" w:cs="Times New Roman"/>
          <w:b w:val="0"/>
          <w:bCs w:val="0"/>
          <w:color w:val="auto"/>
          <w:sz w:val="32"/>
          <w:szCs w:val="20"/>
          <w:u w:val="none" w:color="auto"/>
          <w:lang w:eastAsia="zh-CN"/>
        </w:rPr>
        <w:t>院公共教学楼</w:t>
      </w:r>
      <w:r>
        <w:rPr>
          <w:rFonts w:ascii="仿宋_GB2312" w:hAnsi="仿宋" w:eastAsia="仿宋_GB2312" w:cs="Times New Roman"/>
          <w:b w:val="0"/>
          <w:bCs w:val="0"/>
          <w:color w:val="auto"/>
          <w:sz w:val="32"/>
          <w:szCs w:val="20"/>
          <w:u w:val="none" w:color="auto"/>
        </w:rPr>
        <w:t>教室</w:t>
      </w:r>
      <w:r>
        <w:rPr>
          <w:rFonts w:hint="eastAsia" w:ascii="仿宋_GB2312" w:hAnsi="仿宋" w:eastAsia="仿宋_GB2312" w:cs="Times New Roman"/>
          <w:b w:val="0"/>
          <w:bCs w:val="0"/>
          <w:color w:val="auto"/>
          <w:sz w:val="32"/>
          <w:szCs w:val="20"/>
          <w:u w:val="none" w:color="auto"/>
          <w:lang w:eastAsia="zh-CN"/>
        </w:rPr>
        <w:t>课桌椅</w:t>
      </w:r>
      <w:r>
        <w:rPr>
          <w:rFonts w:hint="eastAsia" w:ascii="仿宋_GB2312" w:hAnsi="仿宋" w:eastAsia="仿宋_GB2312" w:cs="Times New Roman"/>
          <w:sz w:val="32"/>
          <w:szCs w:val="20"/>
          <w:u w:val="none" w:color="auto"/>
          <w:lang w:eastAsia="zh-CN"/>
        </w:rPr>
        <w:t>。</w:t>
      </w:r>
    </w:p>
    <w:p>
      <w:pPr>
        <w:spacing w:line="580" w:lineRule="exact"/>
        <w:ind w:firstLine="640" w:firstLineChars="200"/>
        <w:rPr>
          <w:rFonts w:hint="eastAsia" w:ascii="仿宋_GB2312" w:hAnsi="仿宋" w:eastAsia="仿宋_GB2312" w:cs="Times New Roman"/>
          <w:strike w:val="0"/>
          <w:sz w:val="32"/>
          <w:szCs w:val="20"/>
          <w:u w:val="none" w:color="auto"/>
          <w:lang w:val="en-US" w:eastAsia="zh-CN"/>
        </w:rPr>
      </w:pPr>
      <w:r>
        <w:rPr>
          <w:rFonts w:hint="eastAsia" w:ascii="仿宋_GB2312" w:hAnsi="仿宋" w:eastAsia="仿宋_GB2312" w:cs="Times New Roman"/>
          <w:sz w:val="32"/>
          <w:szCs w:val="20"/>
          <w:u w:val="none" w:color="auto"/>
          <w:lang w:eastAsia="zh-CN"/>
        </w:rPr>
        <w:t>（三）</w:t>
      </w:r>
      <w:r>
        <w:rPr>
          <w:rFonts w:hint="eastAsia" w:ascii="仿宋_GB2312" w:eastAsia="仿宋_GB2312"/>
          <w:strike w:val="0"/>
          <w:dstrike w:val="0"/>
          <w:sz w:val="32"/>
          <w:szCs w:val="32"/>
          <w:highlight w:val="none"/>
          <w:u w:val="none" w:color="auto"/>
        </w:rPr>
        <w:t>学生工作处管理</w:t>
      </w:r>
      <w:r>
        <w:rPr>
          <w:rFonts w:hint="eastAsia" w:ascii="仿宋_GB2312" w:eastAsia="仿宋_GB2312"/>
          <w:strike w:val="0"/>
          <w:dstrike w:val="0"/>
          <w:sz w:val="32"/>
          <w:szCs w:val="32"/>
          <w:highlight w:val="none"/>
          <w:u w:val="none" w:color="auto"/>
          <w:lang w:eastAsia="zh-CN"/>
        </w:rPr>
        <w:t>学生宿舍家具</w:t>
      </w:r>
      <w:r>
        <w:rPr>
          <w:rFonts w:hint="eastAsia" w:ascii="仿宋_GB2312" w:eastAsia="仿宋_GB2312"/>
          <w:strike w:val="0"/>
          <w:dstrike w:val="0"/>
          <w:sz w:val="32"/>
          <w:szCs w:val="32"/>
          <w:highlight w:val="none"/>
          <w:u w:val="none" w:color="auto"/>
        </w:rPr>
        <w:t>。</w:t>
      </w:r>
    </w:p>
    <w:p>
      <w:pPr>
        <w:keepNext w:val="0"/>
        <w:keepLines w:val="0"/>
        <w:pageBreakBefore w:val="0"/>
        <w:kinsoku/>
        <w:wordWrap/>
        <w:overflowPunct/>
        <w:topLinePunct w:val="0"/>
        <w:bidi w:val="0"/>
        <w:snapToGrid/>
        <w:spacing w:line="580" w:lineRule="exact"/>
        <w:ind w:firstLine="640" w:firstLineChars="200"/>
        <w:textAlignment w:val="auto"/>
        <w:rPr>
          <w:rFonts w:hint="eastAsia" w:ascii="仿宋_GB2312" w:hAnsi="仿宋" w:eastAsia="仿宋_GB2312" w:cs="Times New Roman"/>
          <w:sz w:val="32"/>
          <w:szCs w:val="20"/>
          <w:u w:val="none" w:color="auto"/>
          <w:lang w:eastAsia="zh-CN"/>
        </w:rPr>
      </w:pPr>
      <w:r>
        <w:rPr>
          <w:rFonts w:hint="eastAsia" w:ascii="仿宋_GB2312" w:eastAsia="仿宋_GB2312"/>
          <w:sz w:val="32"/>
          <w:szCs w:val="32"/>
          <w:u w:val="none" w:color="auto"/>
        </w:rPr>
        <w:t>（</w:t>
      </w:r>
      <w:r>
        <w:rPr>
          <w:rFonts w:hint="eastAsia" w:ascii="仿宋_GB2312" w:eastAsia="仿宋_GB2312"/>
          <w:sz w:val="32"/>
          <w:szCs w:val="32"/>
          <w:u w:val="none" w:color="auto"/>
          <w:lang w:eastAsia="zh-CN"/>
        </w:rPr>
        <w:t>四</w:t>
      </w:r>
      <w:r>
        <w:rPr>
          <w:rFonts w:hint="eastAsia" w:ascii="仿宋_GB2312" w:eastAsia="仿宋_GB2312"/>
          <w:sz w:val="32"/>
          <w:szCs w:val="32"/>
          <w:u w:val="none" w:color="auto"/>
        </w:rPr>
        <w:t>）计划财务处</w:t>
      </w:r>
      <w:r>
        <w:rPr>
          <w:rFonts w:hint="eastAsia" w:ascii="仿宋_GB2312" w:eastAsia="仿宋_GB2312"/>
          <w:sz w:val="32"/>
          <w:szCs w:val="32"/>
          <w:u w:val="none" w:color="auto"/>
          <w:lang w:eastAsia="zh-CN"/>
        </w:rPr>
        <w:t>管理</w:t>
      </w:r>
      <w:r>
        <w:rPr>
          <w:rFonts w:hint="eastAsia" w:ascii="仿宋_GB2312" w:eastAsia="仿宋_GB2312"/>
          <w:sz w:val="32"/>
          <w:szCs w:val="32"/>
          <w:u w:val="none" w:color="auto"/>
        </w:rPr>
        <w:t>学院</w:t>
      </w:r>
      <w:r>
        <w:rPr>
          <w:rFonts w:ascii="仿宋_GB2312" w:hAnsi="仿宋" w:eastAsia="仿宋_GB2312" w:cs="Times New Roman"/>
          <w:sz w:val="32"/>
          <w:szCs w:val="20"/>
          <w:u w:val="none" w:color="auto"/>
        </w:rPr>
        <w:t>流动资产和对外投资</w:t>
      </w:r>
      <w:r>
        <w:rPr>
          <w:rFonts w:hint="eastAsia" w:ascii="仿宋_GB2312" w:hAnsi="仿宋" w:eastAsia="仿宋_GB2312" w:cs="Times New Roman"/>
          <w:sz w:val="32"/>
          <w:szCs w:val="20"/>
          <w:u w:val="none" w:color="auto"/>
          <w:lang w:eastAsia="zh-CN"/>
        </w:rPr>
        <w:t>。</w:t>
      </w:r>
    </w:p>
    <w:p>
      <w:pPr>
        <w:spacing w:line="580" w:lineRule="exact"/>
        <w:ind w:firstLine="640" w:firstLineChars="200"/>
        <w:rPr>
          <w:rFonts w:hint="eastAsia" w:ascii="仿宋_GB2312" w:hAnsi="仿宋" w:eastAsia="仿宋_GB2312"/>
          <w:color w:val="auto"/>
          <w:sz w:val="32"/>
          <w:szCs w:val="20"/>
          <w:highlight w:val="none"/>
          <w:u w:val="none" w:color="auto"/>
          <w:lang w:eastAsia="zh-CN"/>
        </w:rPr>
      </w:pPr>
      <w:r>
        <w:rPr>
          <w:rFonts w:hint="eastAsia" w:ascii="仿宋_GB2312" w:eastAsia="仿宋_GB2312"/>
          <w:color w:val="auto"/>
          <w:sz w:val="32"/>
          <w:szCs w:val="32"/>
          <w:highlight w:val="none"/>
          <w:u w:val="none" w:color="auto"/>
        </w:rPr>
        <w:t>（</w:t>
      </w:r>
      <w:r>
        <w:rPr>
          <w:rFonts w:hint="eastAsia" w:ascii="仿宋_GB2312" w:eastAsia="仿宋_GB2312"/>
          <w:color w:val="auto"/>
          <w:sz w:val="32"/>
          <w:szCs w:val="32"/>
          <w:highlight w:val="none"/>
          <w:u w:val="none" w:color="auto"/>
          <w:lang w:eastAsia="zh-CN"/>
        </w:rPr>
        <w:t>五</w:t>
      </w:r>
      <w:r>
        <w:rPr>
          <w:rFonts w:hint="eastAsia" w:ascii="仿宋_GB2312" w:eastAsia="仿宋_GB2312"/>
          <w:color w:val="auto"/>
          <w:sz w:val="32"/>
          <w:szCs w:val="32"/>
          <w:highlight w:val="none"/>
          <w:u w:val="none" w:color="auto"/>
        </w:rPr>
        <w:t>）基建处</w:t>
      </w:r>
      <w:r>
        <w:rPr>
          <w:rFonts w:hint="eastAsia" w:ascii="仿宋_GB2312" w:hAnsi="仿宋" w:eastAsia="仿宋_GB2312"/>
          <w:color w:val="auto"/>
          <w:sz w:val="32"/>
          <w:szCs w:val="20"/>
          <w:highlight w:val="none"/>
          <w:u w:val="none" w:color="auto"/>
          <w:lang w:val="en-US" w:eastAsia="zh-CN"/>
        </w:rPr>
        <w:t>负责办理</w:t>
      </w:r>
      <w:r>
        <w:rPr>
          <w:rFonts w:hint="eastAsia" w:ascii="仿宋_GB2312" w:hAnsi="仿宋" w:eastAsia="仿宋_GB2312"/>
          <w:color w:val="auto"/>
          <w:sz w:val="32"/>
          <w:szCs w:val="20"/>
          <w:highlight w:val="none"/>
          <w:u w:val="none" w:color="auto"/>
        </w:rPr>
        <w:t>学院产权登记事宜</w:t>
      </w:r>
      <w:r>
        <w:rPr>
          <w:rFonts w:hint="eastAsia" w:ascii="仿宋_GB2312" w:hAnsi="仿宋" w:eastAsia="仿宋_GB2312"/>
          <w:color w:val="auto"/>
          <w:sz w:val="32"/>
          <w:szCs w:val="20"/>
          <w:highlight w:val="none"/>
          <w:u w:val="none" w:color="auto"/>
          <w:lang w:eastAsia="zh-CN"/>
        </w:rPr>
        <w:t>。</w:t>
      </w:r>
    </w:p>
    <w:p>
      <w:pPr>
        <w:keepNext w:val="0"/>
        <w:keepLines w:val="0"/>
        <w:pageBreakBefore w:val="0"/>
        <w:kinsoku/>
        <w:wordWrap/>
        <w:overflowPunct/>
        <w:topLinePunct w:val="0"/>
        <w:bidi w:val="0"/>
        <w:snapToGrid/>
        <w:spacing w:line="580" w:lineRule="exact"/>
        <w:ind w:firstLine="640" w:firstLineChars="200"/>
        <w:textAlignment w:val="auto"/>
        <w:rPr>
          <w:rFonts w:hint="eastAsia" w:ascii="仿宋_GB2312" w:eastAsia="仿宋_GB2312"/>
          <w:b w:val="0"/>
          <w:bCs w:val="0"/>
          <w:strike/>
          <w:dstrike w:val="0"/>
          <w:color w:val="auto"/>
          <w:sz w:val="32"/>
          <w:szCs w:val="32"/>
          <w:highlight w:val="none"/>
          <w:u w:val="none" w:color="auto"/>
          <w:lang w:eastAsia="zh-CN"/>
        </w:rPr>
      </w:pPr>
      <w:r>
        <w:rPr>
          <w:rFonts w:hint="eastAsia" w:ascii="仿宋_GB2312" w:eastAsia="仿宋_GB2312"/>
          <w:b w:val="0"/>
          <w:bCs w:val="0"/>
          <w:color w:val="auto"/>
          <w:sz w:val="32"/>
          <w:szCs w:val="32"/>
          <w:highlight w:val="none"/>
          <w:u w:val="none" w:color="auto"/>
        </w:rPr>
        <w:t>（</w:t>
      </w:r>
      <w:r>
        <w:rPr>
          <w:rFonts w:hint="eastAsia" w:ascii="仿宋_GB2312" w:eastAsia="仿宋_GB2312"/>
          <w:b w:val="0"/>
          <w:bCs w:val="0"/>
          <w:color w:val="auto"/>
          <w:sz w:val="32"/>
          <w:szCs w:val="32"/>
          <w:highlight w:val="none"/>
          <w:u w:val="none" w:color="auto"/>
          <w:lang w:eastAsia="zh-CN"/>
        </w:rPr>
        <w:t>六</w:t>
      </w:r>
      <w:r>
        <w:rPr>
          <w:rFonts w:hint="eastAsia" w:ascii="仿宋_GB2312" w:eastAsia="仿宋_GB2312"/>
          <w:b w:val="0"/>
          <w:bCs w:val="0"/>
          <w:color w:val="auto"/>
          <w:sz w:val="32"/>
          <w:szCs w:val="32"/>
          <w:highlight w:val="none"/>
          <w:u w:val="none" w:color="auto"/>
        </w:rPr>
        <w:t>）后勤服务中心</w:t>
      </w:r>
      <w:r>
        <w:rPr>
          <w:rFonts w:hint="eastAsia" w:ascii="仿宋_GB2312" w:eastAsia="仿宋_GB2312"/>
          <w:b w:val="0"/>
          <w:bCs w:val="0"/>
          <w:color w:val="auto"/>
          <w:sz w:val="32"/>
          <w:szCs w:val="32"/>
          <w:highlight w:val="none"/>
          <w:u w:val="none" w:color="auto"/>
          <w:lang w:eastAsia="zh-CN"/>
        </w:rPr>
        <w:t>管理学院房屋及构筑物（不含</w:t>
      </w:r>
      <w:r>
        <w:rPr>
          <w:rFonts w:hint="eastAsia" w:ascii="仿宋_GB2312" w:eastAsia="仿宋_GB2312"/>
          <w:sz w:val="32"/>
          <w:szCs w:val="32"/>
          <w:u w:val="none" w:color="auto"/>
          <w:lang w:eastAsia="zh-CN"/>
        </w:rPr>
        <w:t>五粮文化场地资产</w:t>
      </w:r>
      <w:r>
        <w:rPr>
          <w:rFonts w:hint="eastAsia" w:ascii="仿宋_GB2312" w:eastAsia="仿宋_GB2312"/>
          <w:b w:val="0"/>
          <w:bCs w:val="0"/>
          <w:color w:val="auto"/>
          <w:sz w:val="32"/>
          <w:szCs w:val="32"/>
          <w:highlight w:val="none"/>
          <w:u w:val="none" w:color="auto"/>
          <w:lang w:eastAsia="zh-CN"/>
        </w:rPr>
        <w:t>）。</w:t>
      </w:r>
    </w:p>
    <w:p>
      <w:pPr>
        <w:spacing w:line="580" w:lineRule="exact"/>
        <w:ind w:firstLine="640" w:firstLineChars="200"/>
        <w:rPr>
          <w:rFonts w:ascii="仿宋_GB2312" w:hAnsi="仿宋" w:eastAsia="仿宋_GB2312" w:cs="Times New Roman"/>
          <w:b w:val="0"/>
          <w:bCs w:val="0"/>
          <w:color w:val="auto"/>
          <w:sz w:val="32"/>
          <w:szCs w:val="20"/>
          <w:u w:val="none" w:color="auto"/>
        </w:rPr>
      </w:pPr>
      <w:r>
        <w:rPr>
          <w:rFonts w:hint="eastAsia" w:ascii="仿宋_GB2312" w:eastAsia="仿宋_GB2312"/>
          <w:b w:val="0"/>
          <w:bCs w:val="0"/>
          <w:color w:val="auto"/>
          <w:sz w:val="32"/>
          <w:szCs w:val="32"/>
          <w:u w:val="none" w:color="auto"/>
        </w:rPr>
        <w:t>（</w:t>
      </w:r>
      <w:r>
        <w:rPr>
          <w:rFonts w:hint="eastAsia" w:ascii="仿宋_GB2312" w:eastAsia="仿宋_GB2312"/>
          <w:b w:val="0"/>
          <w:bCs w:val="0"/>
          <w:color w:val="auto"/>
          <w:sz w:val="32"/>
          <w:szCs w:val="32"/>
          <w:u w:val="none" w:color="auto"/>
          <w:lang w:eastAsia="zh-CN"/>
        </w:rPr>
        <w:t>七</w:t>
      </w:r>
      <w:r>
        <w:rPr>
          <w:rFonts w:hint="eastAsia" w:ascii="仿宋_GB2312" w:eastAsia="仿宋_GB2312"/>
          <w:b w:val="0"/>
          <w:bCs w:val="0"/>
          <w:color w:val="auto"/>
          <w:sz w:val="32"/>
          <w:szCs w:val="32"/>
          <w:u w:val="none" w:color="auto"/>
        </w:rPr>
        <w:t>）产学研培发展中心</w:t>
      </w:r>
      <w:r>
        <w:rPr>
          <w:rFonts w:ascii="仿宋_GB2312" w:hAnsi="仿宋" w:eastAsia="仿宋_GB2312" w:cs="Times New Roman"/>
          <w:b w:val="0"/>
          <w:bCs w:val="0"/>
          <w:color w:val="auto"/>
          <w:sz w:val="32"/>
          <w:szCs w:val="20"/>
          <w:u w:val="none" w:color="auto"/>
        </w:rPr>
        <w:t>管理</w:t>
      </w:r>
      <w:r>
        <w:rPr>
          <w:rFonts w:hint="eastAsia" w:ascii="仿宋_GB2312" w:eastAsia="仿宋_GB2312"/>
          <w:b w:val="0"/>
          <w:bCs w:val="0"/>
          <w:color w:val="auto"/>
          <w:sz w:val="32"/>
          <w:szCs w:val="32"/>
          <w:highlight w:val="none"/>
          <w:u w:val="none" w:color="auto"/>
        </w:rPr>
        <w:t>学院</w:t>
      </w:r>
      <w:r>
        <w:rPr>
          <w:rFonts w:ascii="仿宋_GB2312" w:hAnsi="仿宋" w:eastAsia="仿宋_GB2312" w:cs="Times New Roman"/>
          <w:b w:val="0"/>
          <w:bCs w:val="0"/>
          <w:color w:val="auto"/>
          <w:sz w:val="32"/>
          <w:szCs w:val="20"/>
          <w:u w:val="none" w:color="auto"/>
        </w:rPr>
        <w:t>专利权，商标权、著作权、非专利技术、成果转化、科技研发等知识产权类无形资产</w:t>
      </w:r>
      <w:r>
        <w:rPr>
          <w:rFonts w:hint="eastAsia" w:ascii="仿宋_GB2312" w:hAnsi="仿宋" w:eastAsia="仿宋_GB2312" w:cs="Times New Roman"/>
          <w:b w:val="0"/>
          <w:bCs w:val="0"/>
          <w:color w:val="auto"/>
          <w:sz w:val="32"/>
          <w:szCs w:val="20"/>
          <w:u w:val="none" w:color="auto"/>
        </w:rPr>
        <w:t>。</w:t>
      </w:r>
    </w:p>
    <w:p>
      <w:pPr>
        <w:keepNext w:val="0"/>
        <w:keepLines w:val="0"/>
        <w:pageBreakBefore w:val="0"/>
        <w:kinsoku/>
        <w:wordWrap/>
        <w:overflowPunct/>
        <w:topLinePunct w:val="0"/>
        <w:bidi w:val="0"/>
        <w:snapToGrid/>
        <w:spacing w:line="580" w:lineRule="exact"/>
        <w:ind w:firstLine="640" w:firstLineChars="200"/>
        <w:textAlignment w:val="auto"/>
        <w:rPr>
          <w:rFonts w:hint="eastAsia" w:ascii="仿宋_GB2312" w:eastAsia="仿宋_GB2312"/>
          <w:strike w:val="0"/>
          <w:dstrike w:val="0"/>
          <w:sz w:val="32"/>
          <w:szCs w:val="32"/>
          <w:u w:val="none" w:color="auto"/>
          <w:lang w:eastAsia="zh-CN"/>
        </w:rPr>
      </w:pPr>
      <w:r>
        <w:rPr>
          <w:rFonts w:hint="eastAsia" w:ascii="仿宋_GB2312" w:eastAsia="仿宋_GB2312"/>
          <w:sz w:val="32"/>
          <w:szCs w:val="32"/>
          <w:u w:val="none" w:color="auto"/>
        </w:rPr>
        <w:t>（</w:t>
      </w:r>
      <w:r>
        <w:rPr>
          <w:rFonts w:hint="eastAsia" w:ascii="仿宋_GB2312" w:eastAsia="仿宋_GB2312"/>
          <w:sz w:val="32"/>
          <w:szCs w:val="32"/>
          <w:u w:val="none" w:color="auto"/>
          <w:lang w:eastAsia="zh-CN"/>
        </w:rPr>
        <w:t>八</w:t>
      </w:r>
      <w:r>
        <w:rPr>
          <w:rFonts w:hint="eastAsia" w:ascii="仿宋_GB2312" w:eastAsia="仿宋_GB2312"/>
          <w:sz w:val="32"/>
          <w:szCs w:val="32"/>
          <w:u w:val="none" w:color="auto"/>
        </w:rPr>
        <w:t>）图书馆</w:t>
      </w:r>
      <w:r>
        <w:rPr>
          <w:rFonts w:hint="eastAsia" w:ascii="仿宋_GB2312" w:eastAsia="仿宋_GB2312"/>
          <w:sz w:val="32"/>
          <w:szCs w:val="32"/>
          <w:u w:val="none" w:color="auto"/>
          <w:lang w:eastAsia="zh-CN"/>
        </w:rPr>
        <w:t>管理</w:t>
      </w:r>
      <w:r>
        <w:rPr>
          <w:rFonts w:hint="eastAsia" w:ascii="仿宋_GB2312" w:eastAsia="仿宋_GB2312"/>
          <w:sz w:val="32"/>
          <w:szCs w:val="32"/>
          <w:u w:val="none" w:color="auto"/>
        </w:rPr>
        <w:t>学院信息化领域无形资产（包括但不限于公共数据、信息化设施帐号、域名、电子邮箱、有线/无线网络、软件等）</w:t>
      </w:r>
      <w:r>
        <w:rPr>
          <w:rFonts w:hint="eastAsia" w:ascii="仿宋_GB2312" w:eastAsia="仿宋_GB2312"/>
          <w:sz w:val="32"/>
          <w:szCs w:val="32"/>
          <w:u w:val="none" w:color="auto"/>
          <w:lang w:eastAsia="zh-CN"/>
        </w:rPr>
        <w:t>；管理学院网络相关的弱电设施设备</w:t>
      </w:r>
      <w:r>
        <w:rPr>
          <w:rFonts w:hint="eastAsia" w:ascii="仿宋_GB2312" w:eastAsia="仿宋_GB2312"/>
          <w:strike w:val="0"/>
          <w:dstrike w:val="0"/>
          <w:sz w:val="32"/>
          <w:szCs w:val="32"/>
          <w:u w:val="none" w:color="auto"/>
          <w:lang w:eastAsia="zh-CN"/>
        </w:rPr>
        <w:t>。</w:t>
      </w:r>
    </w:p>
    <w:p>
      <w:pPr>
        <w:keepNext w:val="0"/>
        <w:keepLines w:val="0"/>
        <w:pageBreakBefore w:val="0"/>
        <w:kinsoku/>
        <w:wordWrap/>
        <w:overflowPunct/>
        <w:topLinePunct w:val="0"/>
        <w:bidi w:val="0"/>
        <w:snapToGrid/>
        <w:spacing w:line="580" w:lineRule="exact"/>
        <w:ind w:firstLine="640" w:firstLineChars="200"/>
        <w:textAlignment w:val="auto"/>
        <w:rPr>
          <w:rFonts w:hint="eastAsia" w:ascii="仿宋_GB2312" w:eastAsia="仿宋_GB2312"/>
          <w:sz w:val="32"/>
          <w:szCs w:val="32"/>
          <w:u w:val="none" w:color="auto"/>
          <w:lang w:eastAsia="zh-CN"/>
        </w:rPr>
      </w:pPr>
      <w:r>
        <w:rPr>
          <w:rFonts w:hint="eastAsia" w:ascii="仿宋_GB2312" w:eastAsia="仿宋_GB2312"/>
          <w:sz w:val="32"/>
          <w:szCs w:val="32"/>
          <w:u w:val="none" w:color="auto"/>
          <w:lang w:eastAsia="zh-CN"/>
        </w:rPr>
        <w:t>（九）粮食文化产业研究中心管理粮食文化长廊、丰华广场、粮食名人园、悯农广场、粮园等五粮文化场地资产。</w:t>
      </w:r>
    </w:p>
    <w:p>
      <w:pPr>
        <w:keepNext w:val="0"/>
        <w:keepLines w:val="0"/>
        <w:pageBreakBefore w:val="0"/>
        <w:numPr>
          <w:ilvl w:val="0"/>
          <w:numId w:val="0"/>
        </w:numPr>
        <w:tabs>
          <w:tab w:val="left" w:pos="0"/>
        </w:tabs>
        <w:kinsoku/>
        <w:wordWrap/>
        <w:overflowPunct/>
        <w:topLinePunct w:val="0"/>
        <w:bidi w:val="0"/>
        <w:snapToGrid/>
        <w:spacing w:line="580" w:lineRule="exact"/>
        <w:ind w:left="-10" w:leftChars="0" w:firstLine="640" w:firstLineChars="0"/>
        <w:textAlignment w:val="auto"/>
        <w:rPr>
          <w:rFonts w:ascii="仿宋_GB2312" w:eastAsia="仿宋_GB2312"/>
          <w:sz w:val="32"/>
          <w:szCs w:val="32"/>
          <w:u w:val="none" w:color="auto"/>
        </w:rPr>
      </w:pPr>
      <w:r>
        <w:rPr>
          <w:rFonts w:hint="eastAsia" w:ascii="仿宋_GB2312" w:hAnsi="仿宋" w:eastAsia="仿宋_GB2312" w:cs="Times New Roman"/>
          <w:b/>
          <w:bCs/>
          <w:sz w:val="32"/>
          <w:szCs w:val="20"/>
          <w:u w:val="none" w:color="auto"/>
          <w:lang w:val="en-US" w:eastAsia="zh-CN"/>
        </w:rPr>
        <w:t>第十条</w:t>
      </w:r>
      <w:r>
        <w:rPr>
          <w:rFonts w:hint="eastAsia" w:ascii="仿宋" w:hAnsi="仿宋" w:eastAsia="仿宋" w:cs="仿宋"/>
          <w:b/>
          <w:kern w:val="2"/>
          <w:sz w:val="32"/>
          <w:szCs w:val="32"/>
          <w:u w:val="none" w:color="auto"/>
          <w:lang w:val="en-US" w:eastAsia="zh-CN" w:bidi="ar-SA"/>
        </w:rPr>
        <w:t xml:space="preserve"> </w:t>
      </w:r>
      <w:r>
        <w:rPr>
          <w:rFonts w:hint="eastAsia" w:ascii="仿宋_GB2312" w:eastAsia="仿宋_GB2312"/>
          <w:sz w:val="32"/>
          <w:szCs w:val="32"/>
          <w:u w:val="none" w:color="auto"/>
        </w:rPr>
        <w:t>学院各</w:t>
      </w:r>
      <w:r>
        <w:rPr>
          <w:rFonts w:hint="eastAsia" w:ascii="仿宋_GB2312" w:eastAsia="仿宋_GB2312"/>
          <w:sz w:val="32"/>
          <w:szCs w:val="32"/>
          <w:u w:val="none" w:color="auto"/>
          <w:lang w:eastAsia="zh-CN"/>
        </w:rPr>
        <w:t>使用</w:t>
      </w:r>
      <w:r>
        <w:rPr>
          <w:rFonts w:hint="eastAsia" w:ascii="仿宋_GB2312" w:eastAsia="仿宋_GB2312"/>
          <w:sz w:val="32"/>
          <w:szCs w:val="32"/>
          <w:u w:val="none" w:color="auto"/>
        </w:rPr>
        <w:t>部门负责对其占有使用的各类</w:t>
      </w:r>
      <w:r>
        <w:rPr>
          <w:rFonts w:hint="eastAsia" w:ascii="仿宋_GB2312" w:eastAsia="仿宋_GB2312"/>
          <w:sz w:val="32"/>
          <w:szCs w:val="32"/>
          <w:u w:val="none" w:color="auto"/>
          <w:lang w:eastAsia="zh-CN"/>
        </w:rPr>
        <w:t>国有</w:t>
      </w:r>
      <w:r>
        <w:rPr>
          <w:rFonts w:hint="eastAsia" w:ascii="仿宋_GB2312" w:eastAsia="仿宋_GB2312"/>
          <w:sz w:val="32"/>
          <w:szCs w:val="32"/>
          <w:u w:val="none" w:color="auto"/>
        </w:rPr>
        <w:t>资产实施日常管理。各</w:t>
      </w:r>
      <w:r>
        <w:rPr>
          <w:rFonts w:hint="eastAsia" w:ascii="仿宋_GB2312" w:eastAsia="仿宋_GB2312"/>
          <w:sz w:val="32"/>
          <w:szCs w:val="32"/>
          <w:u w:val="none" w:color="auto"/>
          <w:lang w:eastAsia="zh-CN"/>
        </w:rPr>
        <w:t>使用</w:t>
      </w:r>
      <w:r>
        <w:rPr>
          <w:rFonts w:hint="eastAsia" w:ascii="仿宋_GB2312" w:eastAsia="仿宋_GB2312"/>
          <w:sz w:val="32"/>
          <w:szCs w:val="32"/>
          <w:u w:val="none" w:color="auto"/>
        </w:rPr>
        <w:t>部门对占有国有资产的安全性、完整性和使用的有效性负直接管理责任。主要职责是：</w:t>
      </w:r>
    </w:p>
    <w:p>
      <w:pPr>
        <w:keepNext w:val="0"/>
        <w:keepLines w:val="0"/>
        <w:pageBreakBefore w:val="0"/>
        <w:kinsoku/>
        <w:wordWrap/>
        <w:overflowPunct/>
        <w:topLinePunct w:val="0"/>
        <w:bidi w:val="0"/>
        <w:snapToGrid/>
        <w:spacing w:line="580" w:lineRule="exact"/>
        <w:ind w:firstLine="640" w:firstLineChars="200"/>
        <w:textAlignment w:val="auto"/>
        <w:rPr>
          <w:rFonts w:ascii="仿宋_GB2312" w:eastAsia="仿宋_GB2312"/>
          <w:sz w:val="32"/>
          <w:szCs w:val="32"/>
          <w:u w:val="none" w:color="auto"/>
        </w:rPr>
      </w:pPr>
      <w:r>
        <w:rPr>
          <w:rFonts w:hint="eastAsia" w:ascii="仿宋_GB2312" w:eastAsia="仿宋_GB2312"/>
          <w:sz w:val="32"/>
          <w:szCs w:val="32"/>
          <w:u w:val="none" w:color="auto"/>
        </w:rPr>
        <w:t>（一）加强国有资产管理的宣传教育工作，树立国有资产“谁使用，谁管理，谁负责”的全员管理思想，不断优化资产配置的合理性，提高</w:t>
      </w:r>
      <w:r>
        <w:rPr>
          <w:rFonts w:hint="eastAsia" w:ascii="仿宋_GB2312" w:eastAsia="仿宋_GB2312"/>
          <w:sz w:val="32"/>
          <w:szCs w:val="32"/>
          <w:u w:val="none" w:color="auto"/>
          <w:lang w:eastAsia="zh-CN"/>
        </w:rPr>
        <w:t>国有</w:t>
      </w:r>
      <w:r>
        <w:rPr>
          <w:rFonts w:hint="eastAsia" w:ascii="仿宋_GB2312" w:eastAsia="仿宋_GB2312"/>
          <w:sz w:val="32"/>
          <w:szCs w:val="32"/>
          <w:u w:val="none" w:color="auto"/>
        </w:rPr>
        <w:t>资产使用效率。</w:t>
      </w:r>
    </w:p>
    <w:p>
      <w:pPr>
        <w:keepNext w:val="0"/>
        <w:keepLines w:val="0"/>
        <w:pageBreakBefore w:val="0"/>
        <w:kinsoku/>
        <w:wordWrap/>
        <w:overflowPunct/>
        <w:topLinePunct w:val="0"/>
        <w:bidi w:val="0"/>
        <w:snapToGrid/>
        <w:spacing w:line="580" w:lineRule="exact"/>
        <w:ind w:firstLine="640" w:firstLineChars="200"/>
        <w:textAlignment w:val="auto"/>
        <w:rPr>
          <w:rFonts w:ascii="仿宋_GB2312" w:eastAsia="仿宋_GB2312"/>
          <w:sz w:val="32"/>
          <w:szCs w:val="32"/>
          <w:u w:val="none" w:color="auto"/>
        </w:rPr>
      </w:pPr>
      <w:r>
        <w:rPr>
          <w:rFonts w:hint="eastAsia" w:ascii="仿宋_GB2312" w:eastAsia="仿宋_GB2312"/>
          <w:sz w:val="32"/>
          <w:szCs w:val="32"/>
          <w:u w:val="none" w:color="auto"/>
        </w:rPr>
        <w:t>（二）负责落实学院国有资产管理的各项规章制度。</w:t>
      </w:r>
    </w:p>
    <w:p>
      <w:pPr>
        <w:keepNext w:val="0"/>
        <w:keepLines w:val="0"/>
        <w:pageBreakBefore w:val="0"/>
        <w:kinsoku/>
        <w:wordWrap/>
        <w:overflowPunct/>
        <w:topLinePunct w:val="0"/>
        <w:bidi w:val="0"/>
        <w:snapToGrid/>
        <w:spacing w:line="580" w:lineRule="exact"/>
        <w:ind w:firstLine="640" w:firstLineChars="200"/>
        <w:textAlignment w:val="auto"/>
        <w:rPr>
          <w:rFonts w:hint="eastAsia" w:ascii="仿宋_GB2312" w:eastAsia="仿宋_GB2312"/>
          <w:sz w:val="32"/>
          <w:szCs w:val="32"/>
          <w:u w:val="none" w:color="auto"/>
        </w:rPr>
      </w:pPr>
      <w:r>
        <w:rPr>
          <w:rFonts w:hint="eastAsia" w:ascii="仿宋_GB2312" w:eastAsia="仿宋_GB2312"/>
          <w:sz w:val="32"/>
          <w:szCs w:val="32"/>
          <w:u w:val="none" w:color="auto"/>
        </w:rPr>
        <w:t>（三）至少配备</w:t>
      </w:r>
      <w:r>
        <w:rPr>
          <w:rFonts w:hint="eastAsia" w:ascii="仿宋_GB2312" w:eastAsia="仿宋_GB2312"/>
          <w:sz w:val="32"/>
          <w:szCs w:val="32"/>
          <w:u w:val="none" w:color="auto"/>
          <w:lang w:val="en-US" w:eastAsia="zh-CN"/>
        </w:rPr>
        <w:t>1</w:t>
      </w:r>
      <w:r>
        <w:rPr>
          <w:rFonts w:hint="eastAsia" w:ascii="仿宋_GB2312" w:eastAsia="仿宋_GB2312"/>
          <w:sz w:val="32"/>
          <w:szCs w:val="32"/>
          <w:u w:val="none" w:color="auto"/>
        </w:rPr>
        <w:t>名相对稳定的专职（或兼职）资产管理员，负责对本部门使用的国有资产实施具体管理。资产管理员应熟悉资产管理制度，熟练操作</w:t>
      </w:r>
      <w:r>
        <w:rPr>
          <w:rFonts w:hint="eastAsia" w:ascii="仿宋_GB2312" w:eastAsia="仿宋_GB2312"/>
          <w:sz w:val="32"/>
          <w:szCs w:val="32"/>
          <w:u w:val="none" w:color="auto"/>
          <w:lang w:eastAsia="zh-CN"/>
        </w:rPr>
        <w:t>学院</w:t>
      </w:r>
      <w:r>
        <w:rPr>
          <w:rFonts w:hint="eastAsia" w:ascii="仿宋_GB2312" w:eastAsia="仿宋_GB2312"/>
          <w:sz w:val="32"/>
          <w:szCs w:val="32"/>
          <w:u w:val="none" w:color="auto"/>
        </w:rPr>
        <w:t>资产管理系统。</w:t>
      </w:r>
    </w:p>
    <w:p>
      <w:pPr>
        <w:keepNext w:val="0"/>
        <w:keepLines w:val="0"/>
        <w:pageBreakBefore w:val="0"/>
        <w:kinsoku/>
        <w:wordWrap/>
        <w:overflowPunct/>
        <w:topLinePunct w:val="0"/>
        <w:bidi w:val="0"/>
        <w:snapToGrid/>
        <w:spacing w:line="580" w:lineRule="exact"/>
        <w:ind w:firstLine="640" w:firstLineChars="200"/>
        <w:textAlignment w:val="auto"/>
        <w:rPr>
          <w:rFonts w:ascii="仿宋_GB2312" w:eastAsia="仿宋_GB2312"/>
          <w:sz w:val="32"/>
          <w:szCs w:val="32"/>
          <w:u w:val="none" w:color="auto"/>
        </w:rPr>
      </w:pPr>
      <w:r>
        <w:rPr>
          <w:rFonts w:hint="eastAsia" w:ascii="仿宋_GB2312" w:eastAsia="仿宋_GB2312"/>
          <w:sz w:val="32"/>
          <w:szCs w:val="32"/>
          <w:u w:val="none" w:color="auto"/>
        </w:rPr>
        <w:t>（四）负责本部门国有资产的实物管理及日常使用、维护、管理工作。</w:t>
      </w:r>
    </w:p>
    <w:p>
      <w:pPr>
        <w:keepNext w:val="0"/>
        <w:keepLines w:val="0"/>
        <w:pageBreakBefore w:val="0"/>
        <w:kinsoku/>
        <w:wordWrap/>
        <w:overflowPunct/>
        <w:topLinePunct w:val="0"/>
        <w:bidi w:val="0"/>
        <w:snapToGrid/>
        <w:spacing w:line="580" w:lineRule="exact"/>
        <w:ind w:firstLine="640" w:firstLineChars="200"/>
        <w:textAlignment w:val="auto"/>
        <w:rPr>
          <w:rFonts w:ascii="仿宋_GB2312" w:eastAsia="仿宋_GB2312"/>
          <w:sz w:val="32"/>
          <w:szCs w:val="32"/>
          <w:u w:val="none" w:color="auto"/>
        </w:rPr>
      </w:pPr>
      <w:r>
        <w:rPr>
          <w:rFonts w:hint="eastAsia" w:ascii="仿宋_GB2312" w:eastAsia="仿宋_GB2312"/>
          <w:sz w:val="32"/>
          <w:szCs w:val="32"/>
          <w:u w:val="none" w:color="auto"/>
        </w:rPr>
        <w:t>（五）负责本部门国有资产的验收，负责本部门国有资产的科学配置、有效利用和保护</w:t>
      </w:r>
      <w:r>
        <w:rPr>
          <w:rFonts w:hint="eastAsia" w:ascii="仿宋_GB2312" w:eastAsia="仿宋_GB2312"/>
          <w:sz w:val="32"/>
          <w:szCs w:val="32"/>
          <w:u w:val="none" w:color="auto"/>
          <w:lang w:eastAsia="zh-CN"/>
        </w:rPr>
        <w:t>国有</w:t>
      </w:r>
      <w:r>
        <w:rPr>
          <w:rFonts w:hint="eastAsia" w:ascii="仿宋_GB2312" w:eastAsia="仿宋_GB2312"/>
          <w:sz w:val="32"/>
          <w:szCs w:val="32"/>
          <w:u w:val="none" w:color="auto"/>
        </w:rPr>
        <w:t>资产的安全完整。</w:t>
      </w:r>
    </w:p>
    <w:p>
      <w:pPr>
        <w:keepNext w:val="0"/>
        <w:keepLines w:val="0"/>
        <w:pageBreakBefore w:val="0"/>
        <w:kinsoku/>
        <w:wordWrap/>
        <w:overflowPunct/>
        <w:topLinePunct w:val="0"/>
        <w:bidi w:val="0"/>
        <w:snapToGrid/>
        <w:spacing w:line="580" w:lineRule="exact"/>
        <w:ind w:firstLine="640" w:firstLineChars="200"/>
        <w:textAlignment w:val="auto"/>
        <w:rPr>
          <w:rFonts w:ascii="仿宋_GB2312" w:eastAsia="仿宋_GB2312"/>
          <w:sz w:val="32"/>
          <w:szCs w:val="32"/>
          <w:u w:val="none" w:color="auto"/>
        </w:rPr>
      </w:pPr>
      <w:r>
        <w:rPr>
          <w:rFonts w:hint="eastAsia" w:ascii="仿宋_GB2312" w:eastAsia="仿宋_GB2312"/>
          <w:sz w:val="32"/>
          <w:szCs w:val="32"/>
          <w:u w:val="none" w:color="auto"/>
        </w:rPr>
        <w:t>（六）负责本部门国有资产的登记入库、变动、报损、报废、出租、出借等事项的申报。</w:t>
      </w:r>
    </w:p>
    <w:p>
      <w:pPr>
        <w:keepNext w:val="0"/>
        <w:keepLines w:val="0"/>
        <w:pageBreakBefore w:val="0"/>
        <w:kinsoku/>
        <w:wordWrap/>
        <w:overflowPunct/>
        <w:topLinePunct w:val="0"/>
        <w:bidi w:val="0"/>
        <w:snapToGrid/>
        <w:spacing w:line="580" w:lineRule="exact"/>
        <w:ind w:firstLine="640" w:firstLineChars="200"/>
        <w:textAlignment w:val="auto"/>
        <w:rPr>
          <w:rFonts w:hint="eastAsia" w:ascii="仿宋_GB2312" w:eastAsia="仿宋_GB2312"/>
          <w:sz w:val="32"/>
          <w:szCs w:val="32"/>
          <w:u w:val="none" w:color="auto"/>
        </w:rPr>
      </w:pPr>
      <w:r>
        <w:rPr>
          <w:rFonts w:hint="eastAsia" w:ascii="仿宋_GB2312" w:eastAsia="仿宋_GB2312"/>
          <w:sz w:val="32"/>
          <w:szCs w:val="32"/>
          <w:u w:val="none" w:color="auto"/>
        </w:rPr>
        <w:t>（七）负责督促和监督本部门调离及离退休人员办理岗位变动的资产移交和资产清退工作。</w:t>
      </w:r>
    </w:p>
    <w:p>
      <w:pPr>
        <w:keepNext w:val="0"/>
        <w:keepLines w:val="0"/>
        <w:pageBreakBefore w:val="0"/>
        <w:kinsoku/>
        <w:wordWrap/>
        <w:overflowPunct/>
        <w:topLinePunct w:val="0"/>
        <w:bidi w:val="0"/>
        <w:snapToGrid/>
        <w:spacing w:line="580" w:lineRule="exact"/>
        <w:ind w:firstLine="640" w:firstLineChars="200"/>
        <w:textAlignment w:val="auto"/>
        <w:rPr>
          <w:rFonts w:ascii="仿宋_GB2312" w:eastAsia="仿宋_GB2312"/>
          <w:sz w:val="32"/>
          <w:szCs w:val="32"/>
          <w:u w:val="none" w:color="auto"/>
        </w:rPr>
      </w:pPr>
      <w:r>
        <w:rPr>
          <w:rFonts w:hint="eastAsia" w:ascii="仿宋_GB2312" w:eastAsia="仿宋_GB2312"/>
          <w:sz w:val="32"/>
          <w:szCs w:val="32"/>
          <w:u w:val="none" w:color="auto"/>
        </w:rPr>
        <w:t>（八）配合学院资产管理处开展资产清查工作和绩效考核工作。</w:t>
      </w:r>
    </w:p>
    <w:p>
      <w:pPr>
        <w:keepNext w:val="0"/>
        <w:keepLines w:val="0"/>
        <w:pageBreakBefore w:val="0"/>
        <w:numPr>
          <w:ilvl w:val="0"/>
          <w:numId w:val="0"/>
        </w:numPr>
        <w:tabs>
          <w:tab w:val="left" w:pos="0"/>
        </w:tabs>
        <w:kinsoku/>
        <w:wordWrap/>
        <w:overflowPunct/>
        <w:topLinePunct w:val="0"/>
        <w:bidi w:val="0"/>
        <w:snapToGrid/>
        <w:spacing w:line="580" w:lineRule="exact"/>
        <w:ind w:left="-10" w:leftChars="0" w:firstLine="640" w:firstLineChars="0"/>
        <w:textAlignment w:val="auto"/>
        <w:rPr>
          <w:rFonts w:ascii="仿宋_GB2312" w:eastAsia="仿宋_GB2312"/>
          <w:sz w:val="32"/>
          <w:szCs w:val="32"/>
          <w:highlight w:val="none"/>
          <w:u w:val="none" w:color="auto"/>
        </w:rPr>
      </w:pPr>
      <w:r>
        <w:rPr>
          <w:rFonts w:hint="eastAsia" w:ascii="仿宋_GB2312" w:hAnsi="仿宋" w:eastAsia="仿宋_GB2312" w:cs="Times New Roman"/>
          <w:b/>
          <w:bCs/>
          <w:sz w:val="32"/>
          <w:szCs w:val="20"/>
          <w:highlight w:val="none"/>
          <w:u w:val="none" w:color="auto"/>
          <w:lang w:val="en-US" w:eastAsia="zh-CN"/>
        </w:rPr>
        <w:t>第十一条</w:t>
      </w:r>
      <w:r>
        <w:rPr>
          <w:rFonts w:hint="eastAsia" w:ascii="仿宋" w:hAnsi="仿宋" w:eastAsia="仿宋" w:cs="仿宋"/>
          <w:b/>
          <w:kern w:val="2"/>
          <w:sz w:val="32"/>
          <w:szCs w:val="32"/>
          <w:highlight w:val="none"/>
          <w:u w:val="none" w:color="auto"/>
          <w:lang w:val="en-US" w:eastAsia="zh-CN" w:bidi="ar-SA"/>
        </w:rPr>
        <w:t xml:space="preserve"> </w:t>
      </w:r>
      <w:r>
        <w:rPr>
          <w:rFonts w:hint="eastAsia" w:ascii="仿宋_GB2312" w:eastAsia="仿宋_GB2312"/>
          <w:sz w:val="32"/>
          <w:szCs w:val="32"/>
          <w:highlight w:val="none"/>
          <w:u w:val="none" w:color="auto"/>
        </w:rPr>
        <w:t>各部门负责人为本部门资产管理的第一责任人，并指定资产管理员负责本部门资产的日常管理工作，将资产管理职责分解落实到岗位和个人。</w:t>
      </w:r>
    </w:p>
    <w:p>
      <w:pPr>
        <w:keepNext w:val="0"/>
        <w:keepLines w:val="0"/>
        <w:pageBreakBefore w:val="0"/>
        <w:numPr>
          <w:ilvl w:val="0"/>
          <w:numId w:val="0"/>
        </w:numPr>
        <w:tabs>
          <w:tab w:val="left" w:pos="0"/>
        </w:tabs>
        <w:kinsoku/>
        <w:wordWrap/>
        <w:overflowPunct/>
        <w:topLinePunct w:val="0"/>
        <w:bidi w:val="0"/>
        <w:snapToGrid/>
        <w:spacing w:line="580" w:lineRule="exact"/>
        <w:ind w:left="-10" w:leftChars="0" w:firstLine="640" w:firstLineChars="0"/>
        <w:textAlignment w:val="auto"/>
        <w:rPr>
          <w:rFonts w:ascii="仿宋_GB2312" w:eastAsia="仿宋_GB2312"/>
          <w:sz w:val="32"/>
          <w:szCs w:val="32"/>
          <w:highlight w:val="none"/>
          <w:u w:val="none" w:color="auto"/>
        </w:rPr>
      </w:pPr>
      <w:r>
        <w:rPr>
          <w:rFonts w:hint="eastAsia" w:ascii="仿宋_GB2312" w:hAnsi="仿宋" w:eastAsia="仿宋_GB2312" w:cs="Times New Roman"/>
          <w:b/>
          <w:bCs/>
          <w:sz w:val="32"/>
          <w:szCs w:val="20"/>
          <w:highlight w:val="none"/>
          <w:u w:val="none" w:color="auto"/>
          <w:lang w:val="en-US" w:eastAsia="zh-CN"/>
        </w:rPr>
        <w:t xml:space="preserve">第十二条 </w:t>
      </w:r>
      <w:r>
        <w:rPr>
          <w:rFonts w:hint="eastAsia" w:ascii="仿宋_GB2312" w:eastAsia="仿宋_GB2312"/>
          <w:sz w:val="32"/>
          <w:szCs w:val="32"/>
          <w:highlight w:val="none"/>
          <w:u w:val="none" w:color="auto"/>
        </w:rPr>
        <w:t>各部门资产管理员在</w:t>
      </w:r>
      <w:r>
        <w:rPr>
          <w:rFonts w:hint="eastAsia" w:ascii="仿宋_GB2312" w:eastAsia="仿宋_GB2312"/>
          <w:sz w:val="32"/>
          <w:szCs w:val="32"/>
          <w:highlight w:val="none"/>
          <w:u w:val="none" w:color="auto"/>
          <w:lang w:eastAsia="zh-CN"/>
        </w:rPr>
        <w:t>部门</w:t>
      </w:r>
      <w:r>
        <w:rPr>
          <w:rFonts w:hint="eastAsia" w:ascii="仿宋_GB2312" w:eastAsia="仿宋_GB2312"/>
          <w:sz w:val="32"/>
          <w:szCs w:val="32"/>
          <w:highlight w:val="none"/>
          <w:u w:val="none" w:color="auto"/>
        </w:rPr>
        <w:t>负责人的指导下，具体负责本部门的资产管理工作。各部门资产管理员要相对稳定，变动时要实行“接班人先到，交班人后走”的原则，做到账、物交班核对无误，并按要求办理相关交接手续。</w:t>
      </w:r>
    </w:p>
    <w:p>
      <w:pPr>
        <w:keepNext w:val="0"/>
        <w:keepLines w:val="0"/>
        <w:pageBreakBefore w:val="0"/>
        <w:numPr>
          <w:ilvl w:val="0"/>
          <w:numId w:val="0"/>
        </w:numPr>
        <w:tabs>
          <w:tab w:val="left" w:pos="0"/>
        </w:tabs>
        <w:kinsoku/>
        <w:wordWrap/>
        <w:overflowPunct/>
        <w:topLinePunct w:val="0"/>
        <w:bidi w:val="0"/>
        <w:snapToGrid/>
        <w:spacing w:line="580" w:lineRule="exact"/>
        <w:ind w:left="-10" w:leftChars="0" w:firstLine="640" w:firstLineChars="0"/>
        <w:textAlignment w:val="auto"/>
        <w:rPr>
          <w:rFonts w:ascii="仿宋_GB2312" w:eastAsia="仿宋_GB2312"/>
          <w:sz w:val="32"/>
          <w:szCs w:val="32"/>
          <w:u w:val="none" w:color="auto"/>
        </w:rPr>
      </w:pPr>
      <w:r>
        <w:rPr>
          <w:rFonts w:hint="eastAsia" w:ascii="仿宋_GB2312" w:hAnsi="仿宋" w:eastAsia="仿宋_GB2312" w:cs="Times New Roman"/>
          <w:b/>
          <w:bCs/>
          <w:sz w:val="32"/>
          <w:szCs w:val="20"/>
          <w:u w:val="none" w:color="auto"/>
          <w:lang w:val="en-US" w:eastAsia="zh-CN"/>
        </w:rPr>
        <w:t xml:space="preserve">第十三条 </w:t>
      </w:r>
      <w:r>
        <w:rPr>
          <w:rFonts w:hint="eastAsia" w:ascii="仿宋_GB2312" w:eastAsia="仿宋_GB2312"/>
          <w:sz w:val="32"/>
          <w:szCs w:val="32"/>
          <w:u w:val="none" w:color="auto"/>
        </w:rPr>
        <w:t>国有资产的直接使用人，承担个人名下国有资产的日常保管和维护工作，确保国有资产完整和完好。对本人领用的国有资产损坏、被盗及丢失，负有直接赔偿责任。</w:t>
      </w:r>
    </w:p>
    <w:p>
      <w:pPr>
        <w:keepNext w:val="0"/>
        <w:keepLines w:val="0"/>
        <w:pageBreakBefore w:val="0"/>
        <w:widowControl w:val="0"/>
        <w:kinsoku/>
        <w:wordWrap/>
        <w:overflowPunct/>
        <w:topLinePunct w:val="0"/>
        <w:autoSpaceDE/>
        <w:autoSpaceDN/>
        <w:bidi w:val="0"/>
        <w:adjustRightInd/>
        <w:snapToGrid/>
        <w:spacing w:before="0" w:beforeLines="50" w:after="0" w:afterLines="50" w:line="580" w:lineRule="exact"/>
        <w:jc w:val="center"/>
        <w:textAlignment w:val="auto"/>
        <w:outlineLvl w:val="0"/>
        <w:rPr>
          <w:rFonts w:hint="eastAsia" w:ascii="黑体" w:hAnsi="黑体" w:eastAsia="黑体"/>
          <w:sz w:val="32"/>
          <w:szCs w:val="32"/>
          <w:u w:val="none" w:color="auto"/>
        </w:rPr>
      </w:pPr>
      <w:r>
        <w:rPr>
          <w:rFonts w:hint="eastAsia" w:ascii="黑体" w:hAnsi="黑体" w:eastAsia="黑体"/>
          <w:sz w:val="32"/>
          <w:szCs w:val="32"/>
          <w:u w:val="none" w:color="auto"/>
        </w:rPr>
        <w:t>第三章</w:t>
      </w:r>
      <w:r>
        <w:rPr>
          <w:rFonts w:hint="eastAsia" w:ascii="黑体" w:hAnsi="黑体" w:eastAsia="黑体"/>
          <w:sz w:val="32"/>
          <w:szCs w:val="32"/>
          <w:u w:val="none" w:color="auto"/>
          <w:lang w:val="en-US" w:eastAsia="zh-CN"/>
        </w:rPr>
        <w:t xml:space="preserve"> </w:t>
      </w:r>
      <w:r>
        <w:rPr>
          <w:rFonts w:hint="eastAsia" w:ascii="黑体" w:hAnsi="黑体" w:eastAsia="黑体"/>
          <w:sz w:val="32"/>
          <w:szCs w:val="32"/>
          <w:u w:val="none" w:color="auto"/>
        </w:rPr>
        <w:t xml:space="preserve"> 资产配置</w:t>
      </w:r>
    </w:p>
    <w:p>
      <w:pPr>
        <w:keepNext w:val="0"/>
        <w:keepLines w:val="0"/>
        <w:pageBreakBefore w:val="0"/>
        <w:numPr>
          <w:ilvl w:val="0"/>
          <w:numId w:val="0"/>
        </w:numPr>
        <w:tabs>
          <w:tab w:val="left" w:pos="0"/>
        </w:tabs>
        <w:kinsoku/>
        <w:wordWrap/>
        <w:overflowPunct/>
        <w:topLinePunct w:val="0"/>
        <w:bidi w:val="0"/>
        <w:snapToGrid/>
        <w:spacing w:line="580" w:lineRule="exact"/>
        <w:ind w:left="-10" w:leftChars="0" w:firstLine="640" w:firstLineChars="0"/>
        <w:textAlignment w:val="auto"/>
        <w:rPr>
          <w:rFonts w:hint="eastAsia" w:ascii="仿宋_GB2312" w:eastAsia="仿宋_GB2312"/>
          <w:sz w:val="32"/>
          <w:szCs w:val="32"/>
          <w:u w:val="none" w:color="auto"/>
        </w:rPr>
      </w:pPr>
      <w:r>
        <w:rPr>
          <w:rFonts w:hint="eastAsia" w:ascii="仿宋_GB2312" w:hAnsi="仿宋" w:eastAsia="仿宋_GB2312" w:cs="Times New Roman"/>
          <w:b/>
          <w:bCs/>
          <w:sz w:val="32"/>
          <w:szCs w:val="20"/>
          <w:u w:val="none" w:color="auto"/>
          <w:lang w:val="en-US" w:eastAsia="zh-CN"/>
        </w:rPr>
        <w:t>第十四条</w:t>
      </w:r>
      <w:r>
        <w:rPr>
          <w:rFonts w:hint="eastAsia" w:ascii="仿宋" w:hAnsi="仿宋" w:eastAsia="仿宋" w:cs="仿宋"/>
          <w:b/>
          <w:kern w:val="2"/>
          <w:sz w:val="32"/>
          <w:szCs w:val="32"/>
          <w:u w:val="none" w:color="auto"/>
          <w:lang w:val="en-US" w:eastAsia="zh-CN" w:bidi="ar-SA"/>
        </w:rPr>
        <w:t xml:space="preserve"> </w:t>
      </w:r>
      <w:r>
        <w:rPr>
          <w:rFonts w:hint="eastAsia" w:ascii="仿宋_GB2312" w:eastAsia="仿宋_GB2312"/>
          <w:sz w:val="32"/>
          <w:szCs w:val="32"/>
          <w:u w:val="none" w:color="auto"/>
        </w:rPr>
        <w:t>资产配置是为保证依法履行职能和事业发展需要，按照国家有关法律、法规和规章制度规定的标准和程序配备资产的行为。资产配置范围包括固定资产和无形资产，配置方式包括调剂、购置、建设、租用、接受捐赠等。</w:t>
      </w:r>
    </w:p>
    <w:p>
      <w:pPr>
        <w:keepNext w:val="0"/>
        <w:keepLines w:val="0"/>
        <w:pageBreakBefore w:val="0"/>
        <w:numPr>
          <w:ilvl w:val="0"/>
          <w:numId w:val="0"/>
        </w:numPr>
        <w:tabs>
          <w:tab w:val="left" w:pos="0"/>
        </w:tabs>
        <w:kinsoku/>
        <w:wordWrap/>
        <w:overflowPunct/>
        <w:topLinePunct w:val="0"/>
        <w:bidi w:val="0"/>
        <w:snapToGrid/>
        <w:spacing w:line="580" w:lineRule="exact"/>
        <w:ind w:left="-10" w:leftChars="0" w:firstLine="640" w:firstLineChars="0"/>
        <w:textAlignment w:val="auto"/>
        <w:rPr>
          <w:rFonts w:hint="eastAsia" w:ascii="仿宋_GB2312" w:eastAsia="仿宋_GB2312"/>
          <w:sz w:val="32"/>
          <w:szCs w:val="32"/>
          <w:u w:val="none" w:color="auto"/>
        </w:rPr>
      </w:pPr>
      <w:r>
        <w:rPr>
          <w:rFonts w:hint="eastAsia" w:ascii="仿宋_GB2312" w:hAnsi="仿宋" w:eastAsia="仿宋_GB2312" w:cs="Times New Roman"/>
          <w:b/>
          <w:bCs/>
          <w:sz w:val="32"/>
          <w:szCs w:val="20"/>
          <w:u w:val="none" w:color="auto"/>
          <w:lang w:val="en-US" w:eastAsia="zh-CN"/>
        </w:rPr>
        <w:t xml:space="preserve">第十五条 </w:t>
      </w:r>
      <w:r>
        <w:rPr>
          <w:rFonts w:hint="eastAsia" w:ascii="仿宋_GB2312" w:eastAsia="仿宋_GB2312"/>
          <w:sz w:val="32"/>
          <w:szCs w:val="32"/>
          <w:u w:val="none" w:color="auto"/>
        </w:rPr>
        <w:t>学院国有资产配置坚持与预算管理、政府采购、财务管理相结合原则；坚持厉行节约与履行职能和学院发展需要相适应原则；坚持通用设备统一标准，专用设备逐步规范原则。</w:t>
      </w:r>
    </w:p>
    <w:p>
      <w:pPr>
        <w:keepNext w:val="0"/>
        <w:keepLines w:val="0"/>
        <w:pageBreakBefore w:val="0"/>
        <w:numPr>
          <w:ilvl w:val="0"/>
          <w:numId w:val="0"/>
        </w:numPr>
        <w:tabs>
          <w:tab w:val="left" w:pos="0"/>
        </w:tabs>
        <w:kinsoku/>
        <w:wordWrap/>
        <w:overflowPunct/>
        <w:topLinePunct w:val="0"/>
        <w:bidi w:val="0"/>
        <w:snapToGrid/>
        <w:spacing w:line="580" w:lineRule="exact"/>
        <w:ind w:left="-10" w:leftChars="0" w:firstLine="640" w:firstLineChars="0"/>
        <w:textAlignment w:val="auto"/>
        <w:rPr>
          <w:rFonts w:hint="eastAsia" w:ascii="仿宋_GB2312" w:eastAsia="仿宋_GB2312"/>
          <w:sz w:val="32"/>
          <w:szCs w:val="32"/>
          <w:u w:val="none" w:color="auto"/>
        </w:rPr>
      </w:pPr>
      <w:r>
        <w:rPr>
          <w:rFonts w:hint="eastAsia" w:ascii="仿宋_GB2312" w:eastAsia="仿宋_GB2312"/>
          <w:b/>
          <w:bCs/>
          <w:sz w:val="32"/>
          <w:szCs w:val="32"/>
          <w:u w:val="none" w:color="auto"/>
          <w:lang w:eastAsia="zh-CN"/>
        </w:rPr>
        <w:t>第十六条</w:t>
      </w:r>
      <w:r>
        <w:rPr>
          <w:rFonts w:hint="eastAsia" w:ascii="仿宋_GB2312" w:eastAsia="仿宋_GB2312"/>
          <w:sz w:val="32"/>
          <w:szCs w:val="32"/>
          <w:u w:val="none" w:color="auto"/>
          <w:lang w:val="en-US" w:eastAsia="zh-CN"/>
        </w:rPr>
        <w:t xml:space="preserve"> </w:t>
      </w:r>
      <w:r>
        <w:rPr>
          <w:rFonts w:hint="eastAsia" w:ascii="仿宋_GB2312" w:eastAsia="仿宋_GB2312"/>
          <w:sz w:val="32"/>
          <w:szCs w:val="32"/>
          <w:u w:val="none" w:color="auto"/>
        </w:rPr>
        <w:t>各部</w:t>
      </w:r>
      <w:r>
        <w:rPr>
          <w:rFonts w:hint="eastAsia" w:ascii="仿宋_GB2312" w:eastAsia="仿宋_GB2312"/>
          <w:sz w:val="32"/>
          <w:szCs w:val="32"/>
          <w:u w:val="none" w:color="auto"/>
          <w:lang w:eastAsia="zh-CN"/>
        </w:rPr>
        <w:t>门</w:t>
      </w:r>
      <w:r>
        <w:rPr>
          <w:rFonts w:hint="eastAsia" w:ascii="仿宋_GB2312" w:eastAsia="仿宋_GB2312"/>
          <w:sz w:val="32"/>
          <w:szCs w:val="32"/>
          <w:u w:val="none" w:color="auto"/>
        </w:rPr>
        <w:t>应当根据实际</w:t>
      </w:r>
      <w:r>
        <w:rPr>
          <w:rFonts w:hint="eastAsia" w:ascii="仿宋_GB2312" w:eastAsia="仿宋_GB2312"/>
          <w:sz w:val="32"/>
          <w:szCs w:val="32"/>
          <w:u w:val="none" w:color="auto"/>
          <w:lang w:eastAsia="zh-CN"/>
        </w:rPr>
        <w:t>工作</w:t>
      </w:r>
      <w:r>
        <w:rPr>
          <w:rFonts w:hint="eastAsia" w:ascii="仿宋_GB2312" w:eastAsia="仿宋_GB2312"/>
          <w:sz w:val="32"/>
          <w:szCs w:val="32"/>
          <w:u w:val="none" w:color="auto"/>
        </w:rPr>
        <w:t>需要，提出新增资产配置计划，科学合理编制</w:t>
      </w:r>
      <w:r>
        <w:rPr>
          <w:rFonts w:hint="eastAsia" w:ascii="仿宋_GB2312" w:eastAsia="仿宋_GB2312"/>
          <w:sz w:val="32"/>
          <w:szCs w:val="32"/>
          <w:u w:val="none" w:color="auto"/>
          <w:lang w:eastAsia="zh-CN"/>
        </w:rPr>
        <w:t>部门</w:t>
      </w:r>
      <w:r>
        <w:rPr>
          <w:rFonts w:hint="eastAsia" w:ascii="仿宋_GB2312" w:eastAsia="仿宋_GB2312"/>
          <w:sz w:val="32"/>
          <w:szCs w:val="32"/>
          <w:u w:val="none" w:color="auto"/>
        </w:rPr>
        <w:t>年度预算。</w:t>
      </w:r>
    </w:p>
    <w:p>
      <w:pPr>
        <w:keepNext w:val="0"/>
        <w:keepLines w:val="0"/>
        <w:pageBreakBefore w:val="0"/>
        <w:numPr>
          <w:ilvl w:val="0"/>
          <w:numId w:val="0"/>
        </w:numPr>
        <w:tabs>
          <w:tab w:val="left" w:pos="0"/>
        </w:tabs>
        <w:kinsoku/>
        <w:wordWrap/>
        <w:overflowPunct/>
        <w:topLinePunct w:val="0"/>
        <w:bidi w:val="0"/>
        <w:snapToGrid/>
        <w:spacing w:line="580" w:lineRule="exact"/>
        <w:ind w:left="-10" w:leftChars="0" w:firstLine="640" w:firstLineChars="0"/>
        <w:textAlignment w:val="auto"/>
        <w:rPr>
          <w:rFonts w:ascii="仿宋_GB2312" w:eastAsia="仿宋_GB2312"/>
          <w:sz w:val="32"/>
          <w:szCs w:val="32"/>
          <w:u w:val="none" w:color="auto"/>
        </w:rPr>
      </w:pPr>
      <w:r>
        <w:rPr>
          <w:rFonts w:hint="eastAsia" w:ascii="仿宋_GB2312" w:hAnsi="仿宋" w:eastAsia="仿宋_GB2312" w:cs="Times New Roman"/>
          <w:b/>
          <w:bCs/>
          <w:sz w:val="32"/>
          <w:szCs w:val="20"/>
          <w:u w:val="none" w:color="auto"/>
          <w:lang w:val="en-US" w:eastAsia="zh-CN"/>
        </w:rPr>
        <w:t xml:space="preserve">第十七条 </w:t>
      </w:r>
      <w:r>
        <w:rPr>
          <w:rFonts w:hint="eastAsia" w:ascii="仿宋_GB2312" w:eastAsia="仿宋_GB2312"/>
          <w:sz w:val="32"/>
          <w:szCs w:val="32"/>
          <w:u w:val="none" w:color="auto"/>
        </w:rPr>
        <w:t>各部门国有资产</w:t>
      </w:r>
      <w:r>
        <w:rPr>
          <w:rFonts w:hint="eastAsia" w:ascii="仿宋_GB2312" w:eastAsia="仿宋_GB2312"/>
          <w:sz w:val="32"/>
          <w:szCs w:val="32"/>
          <w:u w:val="none" w:color="auto"/>
          <w:lang w:eastAsia="zh-CN"/>
        </w:rPr>
        <w:t>配</w:t>
      </w:r>
      <w:r>
        <w:rPr>
          <w:rFonts w:hint="eastAsia" w:ascii="仿宋_GB2312" w:eastAsia="仿宋_GB2312"/>
          <w:sz w:val="32"/>
          <w:szCs w:val="32"/>
          <w:u w:val="none" w:color="auto"/>
        </w:rPr>
        <w:t>置应当同时符合以下条件：</w:t>
      </w:r>
    </w:p>
    <w:p>
      <w:pPr>
        <w:keepNext w:val="0"/>
        <w:keepLines w:val="0"/>
        <w:pageBreakBefore w:val="0"/>
        <w:kinsoku/>
        <w:wordWrap/>
        <w:overflowPunct/>
        <w:topLinePunct w:val="0"/>
        <w:bidi w:val="0"/>
        <w:snapToGrid/>
        <w:spacing w:line="580" w:lineRule="exact"/>
        <w:ind w:firstLine="640"/>
        <w:textAlignment w:val="auto"/>
        <w:rPr>
          <w:rFonts w:hint="eastAsia" w:ascii="仿宋_GB2312" w:hAnsi="华文仿宋" w:eastAsia="仿宋_GB2312"/>
          <w:sz w:val="32"/>
          <w:szCs w:val="32"/>
          <w:u w:val="none" w:color="auto"/>
        </w:rPr>
      </w:pPr>
      <w:r>
        <w:rPr>
          <w:rFonts w:hint="eastAsia" w:ascii="仿宋_GB2312" w:hAnsi="华文仿宋" w:eastAsia="仿宋_GB2312"/>
          <w:sz w:val="32"/>
          <w:szCs w:val="32"/>
          <w:u w:val="none" w:color="auto"/>
        </w:rPr>
        <w:t>（一）未达到规定的资产配置标准，且现有资产无法满足工作需要的。</w:t>
      </w:r>
    </w:p>
    <w:p>
      <w:pPr>
        <w:keepNext w:val="0"/>
        <w:keepLines w:val="0"/>
        <w:pageBreakBefore w:val="0"/>
        <w:kinsoku/>
        <w:wordWrap/>
        <w:overflowPunct/>
        <w:topLinePunct w:val="0"/>
        <w:bidi w:val="0"/>
        <w:snapToGrid/>
        <w:spacing w:line="580" w:lineRule="exact"/>
        <w:ind w:firstLine="640"/>
        <w:textAlignment w:val="auto"/>
        <w:rPr>
          <w:rFonts w:ascii="仿宋_GB2312" w:hAnsi="华文仿宋" w:eastAsia="仿宋_GB2312"/>
          <w:sz w:val="32"/>
          <w:szCs w:val="32"/>
          <w:u w:val="none" w:color="auto"/>
        </w:rPr>
      </w:pPr>
      <w:r>
        <w:rPr>
          <w:rFonts w:hint="eastAsia" w:ascii="仿宋_GB2312" w:hAnsi="华文仿宋" w:eastAsia="仿宋_GB2312"/>
          <w:sz w:val="32"/>
          <w:szCs w:val="32"/>
          <w:u w:val="none" w:color="auto"/>
        </w:rPr>
        <w:t>（二）难以与学院其他部门共享、共用</w:t>
      </w:r>
      <w:r>
        <w:rPr>
          <w:rFonts w:hint="eastAsia" w:ascii="仿宋_GB2312" w:hAnsi="华文仿宋" w:eastAsia="仿宋_GB2312"/>
          <w:sz w:val="32"/>
          <w:szCs w:val="32"/>
          <w:u w:val="none" w:color="auto"/>
          <w:lang w:eastAsia="zh-CN"/>
        </w:rPr>
        <w:t>、调剂</w:t>
      </w:r>
      <w:r>
        <w:rPr>
          <w:rFonts w:hint="eastAsia" w:ascii="仿宋_GB2312" w:hAnsi="华文仿宋" w:eastAsia="仿宋_GB2312"/>
          <w:sz w:val="32"/>
          <w:szCs w:val="32"/>
          <w:u w:val="none" w:color="auto"/>
        </w:rPr>
        <w:t>相关资产。</w:t>
      </w:r>
    </w:p>
    <w:p>
      <w:pPr>
        <w:keepNext w:val="0"/>
        <w:keepLines w:val="0"/>
        <w:pageBreakBefore w:val="0"/>
        <w:kinsoku/>
        <w:wordWrap/>
        <w:overflowPunct/>
        <w:topLinePunct w:val="0"/>
        <w:bidi w:val="0"/>
        <w:snapToGrid/>
        <w:spacing w:line="580" w:lineRule="exact"/>
        <w:ind w:firstLine="640"/>
        <w:textAlignment w:val="auto"/>
        <w:rPr>
          <w:rFonts w:ascii="仿宋_GB2312" w:hAnsi="华文仿宋" w:eastAsia="仿宋_GB2312"/>
          <w:sz w:val="32"/>
          <w:szCs w:val="32"/>
          <w:u w:val="none" w:color="auto"/>
        </w:rPr>
      </w:pPr>
      <w:r>
        <w:rPr>
          <w:rFonts w:hint="eastAsia" w:ascii="仿宋_GB2312" w:hAnsi="华文仿宋" w:eastAsia="仿宋_GB2312"/>
          <w:sz w:val="32"/>
          <w:szCs w:val="32"/>
          <w:u w:val="none" w:color="auto"/>
        </w:rPr>
        <w:t>（三）难以通过市场购买服务方式实现，或者采取市场购买服务方式成本过高。</w:t>
      </w:r>
    </w:p>
    <w:p>
      <w:pPr>
        <w:keepNext w:val="0"/>
        <w:keepLines w:val="0"/>
        <w:pageBreakBefore w:val="0"/>
        <w:tabs>
          <w:tab w:val="left" w:pos="0"/>
        </w:tabs>
        <w:kinsoku/>
        <w:wordWrap/>
        <w:overflowPunct/>
        <w:topLinePunct w:val="0"/>
        <w:bidi w:val="0"/>
        <w:snapToGrid/>
        <w:spacing w:line="580" w:lineRule="exact"/>
        <w:ind w:left="640"/>
        <w:textAlignment w:val="auto"/>
        <w:rPr>
          <w:rFonts w:ascii="仿宋_GB2312" w:eastAsia="仿宋_GB2312"/>
          <w:sz w:val="32"/>
          <w:szCs w:val="32"/>
          <w:u w:val="none" w:color="auto"/>
        </w:rPr>
      </w:pPr>
      <w:r>
        <w:rPr>
          <w:rFonts w:hint="eastAsia" w:ascii="仿宋_GB2312" w:hAnsi="华文仿宋" w:eastAsia="仿宋_GB2312"/>
          <w:sz w:val="32"/>
          <w:szCs w:val="32"/>
          <w:u w:val="none" w:color="auto"/>
        </w:rPr>
        <w:t>（四）其他原因导致确需新增配置的。</w:t>
      </w:r>
    </w:p>
    <w:p>
      <w:pPr>
        <w:keepNext w:val="0"/>
        <w:keepLines w:val="0"/>
        <w:pageBreakBefore w:val="0"/>
        <w:numPr>
          <w:ilvl w:val="0"/>
          <w:numId w:val="0"/>
        </w:numPr>
        <w:tabs>
          <w:tab w:val="left" w:pos="0"/>
        </w:tabs>
        <w:kinsoku/>
        <w:wordWrap/>
        <w:overflowPunct/>
        <w:topLinePunct w:val="0"/>
        <w:bidi w:val="0"/>
        <w:snapToGrid/>
        <w:spacing w:line="580" w:lineRule="exact"/>
        <w:ind w:left="-10" w:leftChars="0" w:firstLine="640" w:firstLineChars="0"/>
        <w:textAlignment w:val="auto"/>
        <w:rPr>
          <w:rFonts w:ascii="仿宋_GB2312" w:eastAsia="仿宋_GB2312"/>
          <w:sz w:val="32"/>
          <w:szCs w:val="32"/>
          <w:u w:val="none" w:color="auto"/>
        </w:rPr>
      </w:pPr>
      <w:r>
        <w:rPr>
          <w:rFonts w:hint="eastAsia" w:ascii="仿宋_GB2312" w:hAnsi="仿宋" w:eastAsia="仿宋_GB2312" w:cs="Times New Roman"/>
          <w:b/>
          <w:bCs/>
          <w:sz w:val="32"/>
          <w:szCs w:val="20"/>
          <w:u w:val="none" w:color="auto"/>
          <w:lang w:val="en-US" w:eastAsia="zh-CN"/>
        </w:rPr>
        <w:t xml:space="preserve">第十八条 </w:t>
      </w:r>
      <w:r>
        <w:rPr>
          <w:rFonts w:hint="eastAsia" w:ascii="仿宋_GB2312" w:eastAsia="仿宋_GB2312"/>
          <w:sz w:val="32"/>
          <w:szCs w:val="32"/>
          <w:u w:val="none" w:color="auto"/>
        </w:rPr>
        <w:t>各部门现有资产符合处置条件但没有及时处置需要申请更新的，要按照规定程序办理资产处置手续后，再在标准内配置资产。</w:t>
      </w:r>
    </w:p>
    <w:p>
      <w:pPr>
        <w:keepNext w:val="0"/>
        <w:keepLines w:val="0"/>
        <w:pageBreakBefore w:val="0"/>
        <w:numPr>
          <w:ilvl w:val="0"/>
          <w:numId w:val="0"/>
        </w:numPr>
        <w:tabs>
          <w:tab w:val="left" w:pos="0"/>
        </w:tabs>
        <w:kinsoku/>
        <w:wordWrap/>
        <w:overflowPunct/>
        <w:topLinePunct w:val="0"/>
        <w:bidi w:val="0"/>
        <w:snapToGrid/>
        <w:spacing w:line="580" w:lineRule="exact"/>
        <w:ind w:firstLine="643" w:firstLineChars="200"/>
        <w:textAlignment w:val="auto"/>
        <w:rPr>
          <w:rFonts w:hint="eastAsia" w:ascii="仿宋_GB2312" w:eastAsia="仿宋_GB2312"/>
          <w:sz w:val="32"/>
          <w:szCs w:val="32"/>
          <w:u w:val="none" w:color="auto"/>
          <w:lang w:eastAsia="zh-CN"/>
        </w:rPr>
      </w:pPr>
      <w:r>
        <w:rPr>
          <w:rFonts w:hint="eastAsia" w:ascii="仿宋_GB2312" w:eastAsia="仿宋_GB2312"/>
          <w:b/>
          <w:bCs/>
          <w:sz w:val="32"/>
          <w:szCs w:val="32"/>
          <w:u w:val="none" w:color="auto"/>
          <w:lang w:eastAsia="zh-CN"/>
        </w:rPr>
        <w:t>第十九条</w:t>
      </w:r>
      <w:r>
        <w:rPr>
          <w:rFonts w:hint="eastAsia" w:ascii="仿宋_GB2312" w:eastAsia="仿宋_GB2312"/>
          <w:sz w:val="32"/>
          <w:szCs w:val="32"/>
          <w:u w:val="none" w:color="auto"/>
          <w:lang w:val="en-US" w:eastAsia="zh-CN"/>
        </w:rPr>
        <w:t xml:space="preserve"> </w:t>
      </w:r>
      <w:r>
        <w:rPr>
          <w:rFonts w:hint="eastAsia" w:ascii="仿宋_GB2312" w:eastAsia="仿宋_GB2312"/>
          <w:sz w:val="32"/>
          <w:szCs w:val="32"/>
          <w:u w:val="none" w:color="auto"/>
        </w:rPr>
        <w:t>各部门要严格按照采购计划和配置标准购置资产，不得超标准、超预算购置。</w:t>
      </w:r>
      <w:r>
        <w:rPr>
          <w:rFonts w:hint="eastAsia" w:ascii="仿宋_GB2312" w:eastAsia="仿宋_GB2312"/>
          <w:sz w:val="32"/>
          <w:szCs w:val="32"/>
          <w:u w:val="none" w:color="auto"/>
          <w:lang w:eastAsia="zh-CN"/>
        </w:rPr>
        <w:t>其中办公设备和家具</w:t>
      </w:r>
      <w:r>
        <w:rPr>
          <w:rFonts w:hint="eastAsia" w:ascii="仿宋_GB2312" w:eastAsia="仿宋_GB2312"/>
          <w:sz w:val="32"/>
          <w:szCs w:val="32"/>
          <w:u w:val="none" w:color="auto"/>
        </w:rPr>
        <w:t>按照</w:t>
      </w:r>
      <w:r>
        <w:rPr>
          <w:rFonts w:hint="eastAsia" w:ascii="仿宋_GB2312" w:eastAsia="仿宋_GB2312"/>
          <w:color w:val="auto"/>
          <w:sz w:val="32"/>
          <w:szCs w:val="32"/>
          <w:u w:val="none" w:color="auto"/>
        </w:rPr>
        <w:t>江西省省级行政事业单位</w:t>
      </w:r>
      <w:r>
        <w:rPr>
          <w:rFonts w:hint="eastAsia" w:ascii="仿宋_GB2312" w:eastAsia="仿宋_GB2312"/>
          <w:color w:val="auto"/>
          <w:sz w:val="32"/>
          <w:szCs w:val="32"/>
          <w:u w:val="none" w:color="auto"/>
          <w:lang w:eastAsia="zh-CN"/>
        </w:rPr>
        <w:t>相</w:t>
      </w:r>
      <w:r>
        <w:rPr>
          <w:rFonts w:hint="eastAsia" w:ascii="仿宋_GB2312" w:eastAsia="仿宋_GB2312"/>
          <w:sz w:val="32"/>
          <w:szCs w:val="32"/>
          <w:u w:val="none" w:color="auto"/>
        </w:rPr>
        <w:t>关</w:t>
      </w:r>
      <w:r>
        <w:rPr>
          <w:rFonts w:hint="eastAsia" w:ascii="仿宋_GB2312" w:eastAsia="仿宋_GB2312"/>
          <w:sz w:val="32"/>
          <w:szCs w:val="32"/>
          <w:u w:val="none" w:color="auto"/>
          <w:lang w:eastAsia="zh-CN"/>
        </w:rPr>
        <w:t>配置标准（附件</w:t>
      </w:r>
      <w:r>
        <w:rPr>
          <w:rFonts w:hint="eastAsia" w:ascii="仿宋_GB2312" w:eastAsia="仿宋_GB2312"/>
          <w:sz w:val="32"/>
          <w:szCs w:val="32"/>
          <w:u w:val="none" w:color="auto"/>
          <w:lang w:val="en-US" w:eastAsia="zh-CN"/>
        </w:rPr>
        <w:t>1、2</w:t>
      </w:r>
      <w:r>
        <w:rPr>
          <w:rFonts w:hint="eastAsia" w:ascii="仿宋_GB2312" w:eastAsia="仿宋_GB2312"/>
          <w:sz w:val="32"/>
          <w:szCs w:val="32"/>
          <w:u w:val="none" w:color="auto"/>
          <w:lang w:eastAsia="zh-CN"/>
        </w:rPr>
        <w:t>）配置；专用资产、办公用房和公务用车按照江西省有关规定配置。对没有规定配置标准的，根据学院事业发展需要，加强论证，从严控制，科学合理配置。</w:t>
      </w:r>
    </w:p>
    <w:p>
      <w:pPr>
        <w:keepNext w:val="0"/>
        <w:keepLines w:val="0"/>
        <w:pageBreakBefore w:val="0"/>
        <w:numPr>
          <w:ilvl w:val="0"/>
          <w:numId w:val="0"/>
        </w:numPr>
        <w:tabs>
          <w:tab w:val="left" w:pos="0"/>
        </w:tabs>
        <w:kinsoku/>
        <w:wordWrap/>
        <w:overflowPunct/>
        <w:topLinePunct w:val="0"/>
        <w:bidi w:val="0"/>
        <w:snapToGrid/>
        <w:spacing w:line="580" w:lineRule="exact"/>
        <w:ind w:firstLine="643" w:firstLineChars="200"/>
        <w:textAlignment w:val="auto"/>
        <w:rPr>
          <w:rFonts w:hint="eastAsia" w:ascii="仿宋_GB2312" w:eastAsia="仿宋_GB2312"/>
          <w:sz w:val="32"/>
          <w:szCs w:val="32"/>
          <w:u w:val="none" w:color="auto"/>
          <w:lang w:eastAsia="zh-CN"/>
        </w:rPr>
      </w:pPr>
      <w:r>
        <w:rPr>
          <w:rFonts w:hint="eastAsia" w:ascii="仿宋_GB2312" w:eastAsia="仿宋_GB2312"/>
          <w:b/>
          <w:bCs/>
          <w:sz w:val="32"/>
          <w:szCs w:val="32"/>
          <w:u w:val="none" w:color="auto"/>
          <w:lang w:eastAsia="zh-CN"/>
        </w:rPr>
        <w:t>第二十条</w:t>
      </w:r>
      <w:r>
        <w:rPr>
          <w:rFonts w:hint="eastAsia" w:ascii="仿宋_GB2312" w:eastAsia="仿宋_GB2312"/>
          <w:sz w:val="32"/>
          <w:szCs w:val="32"/>
          <w:u w:val="none" w:color="auto"/>
          <w:lang w:eastAsia="zh-CN"/>
        </w:rPr>
        <w:t xml:space="preserve"> 学院办公设备和家具配置应具有较强安全性、稳定性、兼容性,且能耗低、维修便利的设备,不得配置高端设备和使用名贵木材。</w:t>
      </w:r>
    </w:p>
    <w:p>
      <w:pPr>
        <w:keepNext w:val="0"/>
        <w:keepLines w:val="0"/>
        <w:pageBreakBefore w:val="0"/>
        <w:numPr>
          <w:ilvl w:val="0"/>
          <w:numId w:val="0"/>
        </w:numPr>
        <w:tabs>
          <w:tab w:val="left" w:pos="0"/>
        </w:tabs>
        <w:kinsoku/>
        <w:wordWrap/>
        <w:overflowPunct/>
        <w:topLinePunct w:val="0"/>
        <w:bidi w:val="0"/>
        <w:snapToGrid/>
        <w:spacing w:line="580" w:lineRule="exact"/>
        <w:ind w:firstLine="643" w:firstLineChars="200"/>
        <w:textAlignment w:val="auto"/>
        <w:rPr>
          <w:rFonts w:hint="eastAsia" w:ascii="仿宋_GB2312" w:eastAsia="仿宋_GB2312"/>
          <w:sz w:val="32"/>
          <w:szCs w:val="32"/>
          <w:u w:val="none" w:color="auto"/>
        </w:rPr>
      </w:pPr>
      <w:r>
        <w:rPr>
          <w:rFonts w:hint="eastAsia" w:ascii="仿宋_GB2312" w:eastAsia="仿宋_GB2312"/>
          <w:b/>
          <w:bCs/>
          <w:sz w:val="32"/>
          <w:szCs w:val="32"/>
          <w:u w:val="none" w:color="auto"/>
          <w:lang w:eastAsia="zh-CN"/>
        </w:rPr>
        <w:t>第二十一条</w:t>
      </w:r>
      <w:r>
        <w:rPr>
          <w:rFonts w:hint="eastAsia" w:ascii="仿宋_GB2312" w:eastAsia="仿宋_GB2312"/>
          <w:sz w:val="32"/>
          <w:szCs w:val="32"/>
          <w:u w:val="none" w:color="auto"/>
          <w:lang w:val="en-US" w:eastAsia="zh-CN"/>
        </w:rPr>
        <w:t xml:space="preserve"> </w:t>
      </w:r>
      <w:r>
        <w:rPr>
          <w:rFonts w:hint="eastAsia" w:ascii="仿宋_GB2312" w:eastAsia="仿宋_GB2312"/>
          <w:sz w:val="32"/>
          <w:szCs w:val="32"/>
          <w:u w:val="none" w:color="auto"/>
        </w:rPr>
        <w:t>未达到最低使用年限的，除毁损且无法修复外，原则上不得更新。已达到使用年限仍可以使用的，应当继续使用。</w:t>
      </w:r>
    </w:p>
    <w:p>
      <w:pPr>
        <w:keepNext w:val="0"/>
        <w:keepLines w:val="0"/>
        <w:pageBreakBefore w:val="0"/>
        <w:numPr>
          <w:ilvl w:val="0"/>
          <w:numId w:val="0"/>
        </w:numPr>
        <w:tabs>
          <w:tab w:val="left" w:pos="0"/>
        </w:tabs>
        <w:kinsoku/>
        <w:wordWrap/>
        <w:overflowPunct/>
        <w:topLinePunct w:val="0"/>
        <w:bidi w:val="0"/>
        <w:snapToGrid/>
        <w:spacing w:line="580" w:lineRule="exact"/>
        <w:ind w:left="-10" w:leftChars="0" w:firstLine="640" w:firstLineChars="0"/>
        <w:textAlignment w:val="auto"/>
        <w:rPr>
          <w:rFonts w:hint="eastAsia" w:ascii="仿宋_GB2312" w:eastAsia="仿宋_GB2312"/>
          <w:b/>
          <w:bCs/>
          <w:sz w:val="32"/>
          <w:szCs w:val="32"/>
          <w:highlight w:val="none"/>
          <w:u w:val="none" w:color="auto"/>
          <w:lang w:eastAsia="zh-CN"/>
        </w:rPr>
      </w:pPr>
      <w:r>
        <w:rPr>
          <w:rFonts w:hint="eastAsia" w:ascii="仿宋_GB2312" w:hAnsi="仿宋" w:eastAsia="仿宋_GB2312" w:cs="Times New Roman"/>
          <w:b/>
          <w:bCs/>
          <w:sz w:val="32"/>
          <w:szCs w:val="20"/>
          <w:highlight w:val="none"/>
          <w:u w:val="none" w:color="auto"/>
          <w:lang w:val="en-US" w:eastAsia="zh-CN"/>
        </w:rPr>
        <w:t xml:space="preserve">第二十二条 </w:t>
      </w:r>
      <w:r>
        <w:rPr>
          <w:rFonts w:hint="eastAsia" w:ascii="仿宋_GB2312" w:eastAsia="仿宋_GB2312"/>
          <w:sz w:val="32"/>
          <w:szCs w:val="32"/>
          <w:highlight w:val="none"/>
          <w:u w:val="none" w:color="auto"/>
        </w:rPr>
        <w:t>各部门要优化资产配置，做到物尽其用，切实发挥资产的使用效益，提高资产的利用率。</w:t>
      </w:r>
    </w:p>
    <w:p>
      <w:pPr>
        <w:keepNext w:val="0"/>
        <w:keepLines w:val="0"/>
        <w:pageBreakBefore w:val="0"/>
        <w:kinsoku/>
        <w:wordWrap/>
        <w:overflowPunct/>
        <w:topLinePunct w:val="0"/>
        <w:bidi w:val="0"/>
        <w:snapToGrid/>
        <w:spacing w:line="580" w:lineRule="exact"/>
        <w:ind w:firstLine="640"/>
        <w:textAlignment w:val="auto"/>
        <w:rPr>
          <w:rFonts w:ascii="仿宋_GB2312" w:hAnsi="华文仿宋" w:eastAsia="仿宋_GB2312"/>
          <w:color w:val="auto"/>
          <w:sz w:val="32"/>
          <w:szCs w:val="32"/>
          <w:highlight w:val="none"/>
          <w:u w:val="none" w:color="auto"/>
        </w:rPr>
      </w:pPr>
      <w:r>
        <w:rPr>
          <w:rFonts w:hint="eastAsia" w:ascii="仿宋_GB2312" w:hAnsi="华文仿宋" w:eastAsia="仿宋_GB2312"/>
          <w:color w:val="auto"/>
          <w:sz w:val="32"/>
          <w:szCs w:val="32"/>
          <w:highlight w:val="none"/>
          <w:u w:val="none" w:color="auto"/>
        </w:rPr>
        <w:t>（一）闲置或超标配置的资产，各部门可通过资产管理系统提出申请，由资产管理处进行校内调剂，并按规定办理资产转移手续。</w:t>
      </w:r>
    </w:p>
    <w:p>
      <w:pPr>
        <w:keepNext w:val="0"/>
        <w:keepLines w:val="0"/>
        <w:pageBreakBefore w:val="0"/>
        <w:kinsoku/>
        <w:wordWrap/>
        <w:overflowPunct/>
        <w:topLinePunct w:val="0"/>
        <w:bidi w:val="0"/>
        <w:snapToGrid/>
        <w:spacing w:line="580" w:lineRule="exact"/>
        <w:ind w:firstLine="640"/>
        <w:textAlignment w:val="auto"/>
        <w:rPr>
          <w:rFonts w:ascii="仿宋_GB2312" w:hAnsi="华文仿宋" w:eastAsia="仿宋_GB2312"/>
          <w:color w:val="auto"/>
          <w:sz w:val="32"/>
          <w:szCs w:val="32"/>
          <w:highlight w:val="none"/>
          <w:u w:val="none" w:color="auto"/>
        </w:rPr>
      </w:pPr>
      <w:r>
        <w:rPr>
          <w:rFonts w:hint="eastAsia" w:ascii="仿宋_GB2312" w:hAnsi="华文仿宋" w:eastAsia="仿宋_GB2312"/>
          <w:color w:val="auto"/>
          <w:sz w:val="32"/>
          <w:szCs w:val="32"/>
          <w:highlight w:val="none"/>
          <w:u w:val="none" w:color="auto"/>
        </w:rPr>
        <w:t>（二）可共享的办公设备（如照相机、摄像机、碎纸机、复印机、打印机、便携式投影仪）和专用设备，各部门可通过资产管理系统标识为共享设备，</w:t>
      </w:r>
      <w:r>
        <w:rPr>
          <w:rFonts w:hint="eastAsia" w:ascii="仿宋_GB2312" w:hAnsi="华文仿宋" w:eastAsia="仿宋_GB2312"/>
          <w:color w:val="auto"/>
          <w:sz w:val="32"/>
          <w:szCs w:val="32"/>
          <w:highlight w:val="none"/>
          <w:u w:val="none" w:color="auto"/>
          <w:lang w:eastAsia="zh-CN"/>
        </w:rPr>
        <w:t>供</w:t>
      </w:r>
      <w:r>
        <w:rPr>
          <w:rFonts w:hint="eastAsia" w:ascii="仿宋_GB2312" w:hAnsi="华文仿宋" w:eastAsia="仿宋_GB2312"/>
          <w:color w:val="auto"/>
          <w:sz w:val="32"/>
          <w:szCs w:val="32"/>
          <w:highlight w:val="none"/>
          <w:u w:val="none" w:color="auto"/>
        </w:rPr>
        <w:t>其他部门挑选使用。</w:t>
      </w:r>
    </w:p>
    <w:p>
      <w:pPr>
        <w:keepNext w:val="0"/>
        <w:keepLines w:val="0"/>
        <w:pageBreakBefore w:val="0"/>
        <w:kinsoku/>
        <w:wordWrap/>
        <w:overflowPunct/>
        <w:topLinePunct w:val="0"/>
        <w:bidi w:val="0"/>
        <w:snapToGrid/>
        <w:spacing w:line="580" w:lineRule="exact"/>
        <w:ind w:firstLine="640"/>
        <w:textAlignment w:val="auto"/>
        <w:rPr>
          <w:rFonts w:hint="eastAsia" w:ascii="仿宋_GB2312" w:hAnsi="华文仿宋" w:eastAsia="仿宋_GB2312"/>
          <w:sz w:val="32"/>
          <w:szCs w:val="32"/>
          <w:highlight w:val="none"/>
          <w:u w:val="none" w:color="auto"/>
        </w:rPr>
      </w:pPr>
      <w:r>
        <w:rPr>
          <w:rFonts w:hint="eastAsia" w:ascii="仿宋_GB2312" w:hAnsi="华文仿宋" w:eastAsia="仿宋_GB2312"/>
          <w:sz w:val="32"/>
          <w:szCs w:val="32"/>
          <w:highlight w:val="none"/>
          <w:u w:val="none" w:color="auto"/>
        </w:rPr>
        <w:t>（三）根据资产共享共用记录，资产管理处对共享共用效果好或者优先通过调剂资产解决需求的部门，在资产配置时给予优先支持。</w:t>
      </w:r>
    </w:p>
    <w:p>
      <w:pPr>
        <w:keepNext w:val="0"/>
        <w:keepLines w:val="0"/>
        <w:pageBreakBefore w:val="0"/>
        <w:numPr>
          <w:ilvl w:val="0"/>
          <w:numId w:val="0"/>
        </w:numPr>
        <w:tabs>
          <w:tab w:val="left" w:pos="0"/>
        </w:tabs>
        <w:kinsoku/>
        <w:wordWrap/>
        <w:overflowPunct/>
        <w:topLinePunct w:val="0"/>
        <w:bidi w:val="0"/>
        <w:snapToGrid/>
        <w:spacing w:line="580" w:lineRule="exact"/>
        <w:ind w:left="-10" w:leftChars="0" w:firstLine="640" w:firstLineChars="0"/>
        <w:textAlignment w:val="auto"/>
        <w:rPr>
          <w:rFonts w:ascii="仿宋_GB2312" w:eastAsia="仿宋_GB2312"/>
          <w:sz w:val="32"/>
          <w:szCs w:val="32"/>
          <w:u w:val="none" w:color="auto"/>
        </w:rPr>
      </w:pPr>
      <w:r>
        <w:rPr>
          <w:rFonts w:hint="eastAsia" w:ascii="仿宋_GB2312" w:hAnsi="仿宋" w:eastAsia="仿宋_GB2312" w:cs="Times New Roman"/>
          <w:b/>
          <w:bCs/>
          <w:sz w:val="32"/>
          <w:szCs w:val="20"/>
          <w:u w:val="none" w:color="auto"/>
          <w:lang w:val="en-US" w:eastAsia="zh-CN"/>
        </w:rPr>
        <w:t xml:space="preserve">第二十三条 </w:t>
      </w:r>
      <w:r>
        <w:rPr>
          <w:rFonts w:hint="eastAsia" w:ascii="仿宋_GB2312" w:eastAsia="仿宋_GB2312"/>
          <w:sz w:val="32"/>
          <w:szCs w:val="32"/>
          <w:u w:val="none" w:color="auto"/>
        </w:rPr>
        <w:t>学院资产</w:t>
      </w:r>
      <w:r>
        <w:rPr>
          <w:rFonts w:hint="eastAsia" w:ascii="仿宋_GB2312" w:eastAsia="仿宋_GB2312"/>
          <w:sz w:val="32"/>
          <w:szCs w:val="32"/>
          <w:u w:val="none" w:color="auto"/>
          <w:lang w:eastAsia="zh-CN"/>
        </w:rPr>
        <w:t>配</w:t>
      </w:r>
      <w:r>
        <w:rPr>
          <w:rFonts w:hint="eastAsia" w:ascii="仿宋_GB2312" w:eastAsia="仿宋_GB2312"/>
          <w:sz w:val="32"/>
          <w:szCs w:val="32"/>
          <w:u w:val="none" w:color="auto"/>
        </w:rPr>
        <w:t>置严格按照国家政府采购相关规定和</w:t>
      </w:r>
      <w:r>
        <w:rPr>
          <w:rFonts w:hint="eastAsia" w:ascii="仿宋_GB2312" w:eastAsia="仿宋_GB2312"/>
          <w:sz w:val="32"/>
          <w:szCs w:val="32"/>
          <w:u w:val="none" w:color="auto"/>
          <w:lang w:eastAsia="zh-CN"/>
        </w:rPr>
        <w:t>学院</w:t>
      </w:r>
      <w:r>
        <w:rPr>
          <w:rFonts w:hint="eastAsia" w:ascii="仿宋_GB2312" w:eastAsia="仿宋_GB2312"/>
          <w:sz w:val="32"/>
          <w:szCs w:val="32"/>
          <w:u w:val="none" w:color="auto"/>
        </w:rPr>
        <w:t>采购管理办</w:t>
      </w:r>
      <w:r>
        <w:rPr>
          <w:rFonts w:hint="eastAsia" w:ascii="仿宋_GB2312" w:eastAsia="仿宋_GB2312"/>
          <w:sz w:val="32"/>
          <w:szCs w:val="32"/>
          <w:u w:val="none" w:color="auto"/>
          <w:lang w:eastAsia="zh-CN"/>
        </w:rPr>
        <w:t>法</w:t>
      </w:r>
      <w:r>
        <w:rPr>
          <w:rFonts w:hint="eastAsia" w:ascii="仿宋_GB2312" w:eastAsia="仿宋_GB2312"/>
          <w:sz w:val="32"/>
          <w:szCs w:val="32"/>
          <w:u w:val="none" w:color="auto"/>
        </w:rPr>
        <w:t>执行。纳入政府采购范围购置的资产，必须按照政府采购管理的有关规定执行。</w:t>
      </w:r>
    </w:p>
    <w:p>
      <w:pPr>
        <w:keepNext w:val="0"/>
        <w:keepLines w:val="0"/>
        <w:pageBreakBefore w:val="0"/>
        <w:numPr>
          <w:ilvl w:val="0"/>
          <w:numId w:val="0"/>
        </w:numPr>
        <w:tabs>
          <w:tab w:val="left" w:pos="0"/>
        </w:tabs>
        <w:kinsoku/>
        <w:wordWrap/>
        <w:overflowPunct/>
        <w:topLinePunct w:val="0"/>
        <w:bidi w:val="0"/>
        <w:snapToGrid/>
        <w:spacing w:line="580" w:lineRule="exact"/>
        <w:ind w:left="-10" w:leftChars="0" w:firstLine="640" w:firstLineChars="0"/>
        <w:textAlignment w:val="auto"/>
        <w:rPr>
          <w:rFonts w:ascii="仿宋_GB2312" w:eastAsia="仿宋_GB2312"/>
          <w:sz w:val="32"/>
          <w:szCs w:val="32"/>
          <w:u w:val="none" w:color="auto"/>
        </w:rPr>
      </w:pPr>
      <w:r>
        <w:rPr>
          <w:rFonts w:hint="eastAsia" w:ascii="仿宋_GB2312" w:hAnsi="仿宋" w:eastAsia="仿宋_GB2312" w:cs="Times New Roman"/>
          <w:b/>
          <w:bCs/>
          <w:sz w:val="32"/>
          <w:szCs w:val="20"/>
          <w:u w:val="none" w:color="auto"/>
          <w:lang w:val="en-US" w:eastAsia="zh-CN"/>
        </w:rPr>
        <w:t xml:space="preserve">第二十四条 </w:t>
      </w:r>
      <w:r>
        <w:rPr>
          <w:rFonts w:hint="eastAsia" w:ascii="仿宋_GB2312" w:eastAsia="仿宋_GB2312"/>
          <w:sz w:val="32"/>
          <w:szCs w:val="32"/>
          <w:u w:val="none" w:color="auto"/>
        </w:rPr>
        <w:t>无偿调入或接受捐赠形成的资产属于学院国有资产，应及时办理入账手续，加强管理，杜绝账外资产的存在。</w:t>
      </w:r>
    </w:p>
    <w:p>
      <w:pPr>
        <w:keepNext w:val="0"/>
        <w:keepLines w:val="0"/>
        <w:pageBreakBefore w:val="0"/>
        <w:widowControl w:val="0"/>
        <w:kinsoku/>
        <w:wordWrap/>
        <w:overflowPunct/>
        <w:topLinePunct w:val="0"/>
        <w:autoSpaceDE/>
        <w:autoSpaceDN/>
        <w:bidi w:val="0"/>
        <w:adjustRightInd/>
        <w:snapToGrid/>
        <w:spacing w:before="0" w:beforeLines="50" w:after="0" w:afterLines="50" w:line="580" w:lineRule="exact"/>
        <w:jc w:val="center"/>
        <w:textAlignment w:val="auto"/>
        <w:outlineLvl w:val="0"/>
        <w:rPr>
          <w:rFonts w:hint="eastAsia" w:ascii="黑体" w:hAnsi="黑体" w:eastAsia="黑体"/>
          <w:sz w:val="32"/>
          <w:szCs w:val="32"/>
          <w:u w:val="none" w:color="auto"/>
        </w:rPr>
      </w:pPr>
      <w:r>
        <w:rPr>
          <w:rFonts w:hint="eastAsia" w:ascii="黑体" w:hAnsi="黑体" w:eastAsia="黑体"/>
          <w:sz w:val="32"/>
          <w:szCs w:val="32"/>
          <w:u w:val="none" w:color="auto"/>
        </w:rPr>
        <w:t>第四章</w:t>
      </w:r>
      <w:r>
        <w:rPr>
          <w:rFonts w:hint="eastAsia" w:ascii="黑体" w:hAnsi="黑体" w:eastAsia="黑体"/>
          <w:sz w:val="32"/>
          <w:szCs w:val="32"/>
          <w:u w:val="none" w:color="auto"/>
          <w:lang w:val="en-US" w:eastAsia="zh-CN"/>
        </w:rPr>
        <w:t xml:space="preserve"> </w:t>
      </w:r>
      <w:r>
        <w:rPr>
          <w:rFonts w:hint="eastAsia" w:ascii="黑体" w:hAnsi="黑体" w:eastAsia="黑体"/>
          <w:sz w:val="32"/>
          <w:szCs w:val="32"/>
          <w:u w:val="none" w:color="auto"/>
        </w:rPr>
        <w:t xml:space="preserve"> 资产使用</w:t>
      </w:r>
    </w:p>
    <w:p>
      <w:pPr>
        <w:keepNext w:val="0"/>
        <w:keepLines w:val="0"/>
        <w:pageBreakBefore w:val="0"/>
        <w:numPr>
          <w:ilvl w:val="0"/>
          <w:numId w:val="0"/>
        </w:numPr>
        <w:tabs>
          <w:tab w:val="left" w:pos="0"/>
        </w:tabs>
        <w:kinsoku/>
        <w:wordWrap/>
        <w:overflowPunct/>
        <w:topLinePunct w:val="0"/>
        <w:bidi w:val="0"/>
        <w:snapToGrid/>
        <w:spacing w:line="580" w:lineRule="exact"/>
        <w:ind w:left="-10" w:leftChars="0" w:firstLine="640" w:firstLineChars="0"/>
        <w:textAlignment w:val="auto"/>
        <w:rPr>
          <w:rFonts w:ascii="仿宋_GB2312" w:eastAsia="仿宋_GB2312"/>
          <w:sz w:val="32"/>
          <w:szCs w:val="32"/>
          <w:u w:val="none" w:color="auto"/>
        </w:rPr>
      </w:pPr>
      <w:r>
        <w:rPr>
          <w:rFonts w:hint="eastAsia" w:ascii="仿宋_GB2312" w:hAnsi="仿宋" w:eastAsia="仿宋_GB2312" w:cs="Times New Roman"/>
          <w:b/>
          <w:bCs/>
          <w:sz w:val="32"/>
          <w:szCs w:val="20"/>
          <w:u w:val="none" w:color="auto"/>
          <w:lang w:val="en-US" w:eastAsia="zh-CN"/>
        </w:rPr>
        <w:t xml:space="preserve">第二十五条 </w:t>
      </w:r>
      <w:r>
        <w:rPr>
          <w:rFonts w:hint="eastAsia" w:ascii="仿宋_GB2312" w:eastAsia="仿宋_GB2312"/>
          <w:sz w:val="32"/>
          <w:szCs w:val="32"/>
          <w:u w:val="none" w:color="auto"/>
        </w:rPr>
        <w:t>学院国有资产使用主要包括自用、共享、对外投资和出租、出借等，国有资产使用应首先确保学院正常运转和事业发展需要。</w:t>
      </w:r>
    </w:p>
    <w:p>
      <w:pPr>
        <w:keepNext w:val="0"/>
        <w:keepLines w:val="0"/>
        <w:pageBreakBefore w:val="0"/>
        <w:numPr>
          <w:ilvl w:val="0"/>
          <w:numId w:val="0"/>
        </w:numPr>
        <w:tabs>
          <w:tab w:val="left" w:pos="0"/>
        </w:tabs>
        <w:kinsoku/>
        <w:wordWrap/>
        <w:overflowPunct/>
        <w:topLinePunct w:val="0"/>
        <w:bidi w:val="0"/>
        <w:snapToGrid/>
        <w:spacing w:line="580" w:lineRule="exact"/>
        <w:ind w:left="-10" w:leftChars="0" w:firstLine="640" w:firstLineChars="0"/>
        <w:textAlignment w:val="auto"/>
        <w:rPr>
          <w:rFonts w:ascii="仿宋_GB2312" w:eastAsia="仿宋_GB2312"/>
          <w:sz w:val="32"/>
          <w:szCs w:val="32"/>
          <w:u w:val="none" w:color="auto"/>
        </w:rPr>
      </w:pPr>
      <w:r>
        <w:rPr>
          <w:rFonts w:hint="eastAsia" w:ascii="仿宋_GB2312" w:hAnsi="仿宋" w:eastAsia="仿宋_GB2312" w:cs="Times New Roman"/>
          <w:b/>
          <w:bCs/>
          <w:sz w:val="32"/>
          <w:szCs w:val="20"/>
          <w:u w:val="none" w:color="auto"/>
          <w:lang w:val="en-US" w:eastAsia="zh-CN"/>
        </w:rPr>
        <w:t xml:space="preserve">第二十六条 </w:t>
      </w:r>
      <w:r>
        <w:rPr>
          <w:rFonts w:hint="eastAsia" w:ascii="仿宋_GB2312" w:eastAsia="仿宋_GB2312"/>
          <w:sz w:val="32"/>
          <w:szCs w:val="32"/>
          <w:u w:val="none" w:color="auto"/>
        </w:rPr>
        <w:t>学院国有资产使用应遵循权属清晰、安全完整、风险控制、注重绩效的原则。</w:t>
      </w:r>
    </w:p>
    <w:p>
      <w:pPr>
        <w:keepNext w:val="0"/>
        <w:keepLines w:val="0"/>
        <w:pageBreakBefore w:val="0"/>
        <w:numPr>
          <w:ilvl w:val="0"/>
          <w:numId w:val="0"/>
        </w:numPr>
        <w:tabs>
          <w:tab w:val="left" w:pos="0"/>
        </w:tabs>
        <w:kinsoku/>
        <w:wordWrap/>
        <w:overflowPunct/>
        <w:topLinePunct w:val="0"/>
        <w:bidi w:val="0"/>
        <w:snapToGrid/>
        <w:spacing w:line="580" w:lineRule="exact"/>
        <w:ind w:left="-10" w:leftChars="0" w:firstLine="640" w:firstLineChars="0"/>
        <w:textAlignment w:val="auto"/>
        <w:rPr>
          <w:rFonts w:ascii="仿宋_GB2312" w:eastAsia="仿宋_GB2312"/>
          <w:sz w:val="32"/>
          <w:szCs w:val="32"/>
          <w:u w:val="none" w:color="auto"/>
        </w:rPr>
      </w:pPr>
      <w:r>
        <w:rPr>
          <w:rFonts w:hint="eastAsia" w:ascii="仿宋_GB2312" w:hAnsi="仿宋" w:eastAsia="仿宋_GB2312" w:cs="Times New Roman"/>
          <w:b/>
          <w:bCs/>
          <w:sz w:val="32"/>
          <w:szCs w:val="20"/>
          <w:u w:val="none" w:color="auto"/>
          <w:lang w:val="en-US" w:eastAsia="zh-CN"/>
        </w:rPr>
        <w:t xml:space="preserve">第二十七条 </w:t>
      </w:r>
      <w:r>
        <w:rPr>
          <w:rFonts w:hint="eastAsia" w:ascii="仿宋_GB2312" w:eastAsia="仿宋_GB2312"/>
          <w:sz w:val="32"/>
          <w:szCs w:val="32"/>
          <w:u w:val="none" w:color="auto"/>
        </w:rPr>
        <w:t>各部门负责使用资产的日常保管和维护，可依托学院资产管理系统的动态管理,对实物资产进行定期自查，做到账卡、账实相符，防止国有资产流失。</w:t>
      </w:r>
    </w:p>
    <w:p>
      <w:pPr>
        <w:keepNext w:val="0"/>
        <w:keepLines w:val="0"/>
        <w:pageBreakBefore w:val="0"/>
        <w:widowControl/>
        <w:numPr>
          <w:ilvl w:val="255"/>
          <w:numId w:val="0"/>
        </w:numPr>
        <w:shd w:val="clear" w:color="auto" w:fill="FFFFFF"/>
        <w:kinsoku/>
        <w:wordWrap/>
        <w:overflowPunct/>
        <w:topLinePunct w:val="0"/>
        <w:bidi w:val="0"/>
        <w:snapToGrid/>
        <w:spacing w:line="580" w:lineRule="exact"/>
        <w:ind w:firstLine="640" w:firstLineChars="200"/>
        <w:jc w:val="left"/>
        <w:textAlignment w:val="auto"/>
        <w:rPr>
          <w:rFonts w:hint="eastAsia" w:ascii="仿宋_GB2312" w:hAnsi="仿宋" w:eastAsia="仿宋_GB2312"/>
          <w:b/>
          <w:bCs/>
          <w:color w:val="0000FF"/>
          <w:sz w:val="32"/>
          <w:szCs w:val="20"/>
          <w:highlight w:val="yellow"/>
          <w:u w:val="none" w:color="auto"/>
          <w:lang w:val="en-US" w:eastAsia="zh-CN"/>
        </w:rPr>
      </w:pPr>
      <w:r>
        <w:rPr>
          <w:rFonts w:hint="eastAsia" w:ascii="仿宋_GB2312" w:eastAsia="仿宋_GB2312"/>
          <w:sz w:val="32"/>
          <w:szCs w:val="32"/>
          <w:u w:val="none" w:color="auto"/>
        </w:rPr>
        <w:t>各部门资产管理员负责本部门公共设备设施的保管、维护和报修，个人使用的设备设施自行负责保管、维护和报修。</w:t>
      </w:r>
    </w:p>
    <w:p>
      <w:pPr>
        <w:keepNext w:val="0"/>
        <w:keepLines w:val="0"/>
        <w:pageBreakBefore w:val="0"/>
        <w:numPr>
          <w:ilvl w:val="0"/>
          <w:numId w:val="0"/>
        </w:numPr>
        <w:tabs>
          <w:tab w:val="left" w:pos="0"/>
        </w:tabs>
        <w:kinsoku/>
        <w:wordWrap/>
        <w:overflowPunct/>
        <w:topLinePunct w:val="0"/>
        <w:bidi w:val="0"/>
        <w:snapToGrid/>
        <w:spacing w:line="580" w:lineRule="exact"/>
        <w:ind w:left="-10" w:leftChars="0" w:firstLine="640" w:firstLineChars="0"/>
        <w:textAlignment w:val="auto"/>
        <w:rPr>
          <w:rFonts w:ascii="仿宋_GB2312" w:eastAsia="仿宋_GB2312"/>
          <w:sz w:val="32"/>
          <w:szCs w:val="32"/>
          <w:u w:val="none" w:color="auto"/>
        </w:rPr>
      </w:pPr>
      <w:r>
        <w:rPr>
          <w:rFonts w:hint="eastAsia" w:ascii="仿宋_GB2312" w:hAnsi="仿宋" w:eastAsia="仿宋_GB2312" w:cs="Times New Roman"/>
          <w:b/>
          <w:bCs/>
          <w:sz w:val="32"/>
          <w:szCs w:val="20"/>
          <w:u w:val="none" w:color="auto"/>
          <w:lang w:val="en-US" w:eastAsia="zh-CN"/>
        </w:rPr>
        <w:t xml:space="preserve">第二十八条 </w:t>
      </w:r>
      <w:r>
        <w:rPr>
          <w:rFonts w:hint="eastAsia" w:ascii="仿宋_GB2312" w:eastAsia="仿宋_GB2312"/>
          <w:sz w:val="32"/>
          <w:szCs w:val="32"/>
          <w:u w:val="none" w:color="auto"/>
        </w:rPr>
        <w:t>各部门在资产领用时应</w:t>
      </w:r>
      <w:r>
        <w:rPr>
          <w:rFonts w:hint="eastAsia" w:ascii="仿宋_GB2312" w:eastAsia="仿宋_GB2312"/>
          <w:sz w:val="32"/>
          <w:szCs w:val="32"/>
          <w:u w:val="none" w:color="auto"/>
          <w:lang w:eastAsia="zh-CN"/>
        </w:rPr>
        <w:t>办理领用</w:t>
      </w:r>
      <w:r>
        <w:rPr>
          <w:rFonts w:hint="eastAsia" w:ascii="仿宋_GB2312" w:eastAsia="仿宋_GB2312"/>
          <w:sz w:val="32"/>
          <w:szCs w:val="32"/>
          <w:u w:val="none" w:color="auto"/>
        </w:rPr>
        <w:t>手续，并在资产管理系统中全面反映本部门资产的领用、占用情况。资产使用人（</w:t>
      </w:r>
      <w:r>
        <w:rPr>
          <w:rFonts w:hint="eastAsia" w:ascii="仿宋_GB2312" w:eastAsia="仿宋_GB2312"/>
          <w:sz w:val="32"/>
          <w:szCs w:val="32"/>
          <w:u w:val="none" w:color="auto"/>
          <w:lang w:eastAsia="zh-CN"/>
        </w:rPr>
        <w:t>或</w:t>
      </w:r>
      <w:r>
        <w:rPr>
          <w:rFonts w:hint="eastAsia" w:ascii="仿宋_GB2312" w:eastAsia="仿宋_GB2312"/>
          <w:sz w:val="32"/>
          <w:szCs w:val="32"/>
          <w:u w:val="none" w:color="auto"/>
        </w:rPr>
        <w:t>资产管理人）对资产负有保管责任，确保资产的完整和安全。</w:t>
      </w:r>
      <w:r>
        <w:rPr>
          <w:rFonts w:hint="eastAsia" w:ascii="仿宋_GB2312" w:eastAsia="仿宋_GB2312"/>
          <w:sz w:val="32"/>
          <w:szCs w:val="32"/>
          <w:u w:val="none" w:color="auto"/>
          <w:lang w:eastAsia="zh-CN"/>
        </w:rPr>
        <w:t>资产</w:t>
      </w:r>
      <w:r>
        <w:rPr>
          <w:rFonts w:hint="eastAsia" w:ascii="仿宋_GB2312" w:eastAsia="仿宋_GB2312"/>
          <w:sz w:val="32"/>
          <w:szCs w:val="32"/>
          <w:u w:val="none" w:color="auto"/>
        </w:rPr>
        <w:t>使用人（或资产管理人）离职离任时，领用的资产必须办理移交手续，方可办理其他相关手续。</w:t>
      </w:r>
    </w:p>
    <w:p>
      <w:pPr>
        <w:keepNext w:val="0"/>
        <w:keepLines w:val="0"/>
        <w:pageBreakBefore w:val="0"/>
        <w:numPr>
          <w:ilvl w:val="0"/>
          <w:numId w:val="0"/>
        </w:numPr>
        <w:tabs>
          <w:tab w:val="left" w:pos="0"/>
        </w:tabs>
        <w:kinsoku/>
        <w:wordWrap/>
        <w:overflowPunct/>
        <w:topLinePunct w:val="0"/>
        <w:bidi w:val="0"/>
        <w:snapToGrid/>
        <w:spacing w:line="580" w:lineRule="exact"/>
        <w:ind w:left="-10" w:leftChars="0" w:firstLine="640" w:firstLineChars="0"/>
        <w:textAlignment w:val="auto"/>
        <w:rPr>
          <w:rFonts w:ascii="仿宋_GB2312" w:eastAsia="仿宋_GB2312"/>
          <w:b w:val="0"/>
          <w:bCs w:val="0"/>
          <w:color w:val="auto"/>
          <w:sz w:val="32"/>
          <w:szCs w:val="32"/>
          <w:u w:val="none" w:color="auto"/>
        </w:rPr>
      </w:pPr>
      <w:r>
        <w:rPr>
          <w:rFonts w:hint="eastAsia" w:ascii="仿宋_GB2312" w:hAnsi="仿宋" w:eastAsia="仿宋_GB2312" w:cs="Times New Roman"/>
          <w:b/>
          <w:bCs/>
          <w:sz w:val="32"/>
          <w:szCs w:val="20"/>
          <w:u w:val="none" w:color="auto"/>
          <w:lang w:val="en-US" w:eastAsia="zh-CN"/>
        </w:rPr>
        <w:t xml:space="preserve">第二十九条 </w:t>
      </w:r>
      <w:r>
        <w:rPr>
          <w:rFonts w:hint="eastAsia" w:ascii="仿宋_GB2312" w:eastAsia="仿宋_GB2312"/>
          <w:b w:val="0"/>
          <w:bCs w:val="0"/>
          <w:color w:val="auto"/>
          <w:sz w:val="32"/>
          <w:szCs w:val="32"/>
          <w:u w:val="none" w:color="auto"/>
        </w:rPr>
        <w:t>资产因调拨、使用人员变更、使用</w:t>
      </w:r>
      <w:r>
        <w:rPr>
          <w:rFonts w:hint="eastAsia" w:ascii="仿宋_GB2312" w:eastAsia="仿宋_GB2312"/>
          <w:b w:val="0"/>
          <w:bCs w:val="0"/>
          <w:color w:val="auto"/>
          <w:sz w:val="32"/>
          <w:szCs w:val="32"/>
          <w:u w:val="none" w:color="auto"/>
          <w:lang w:eastAsia="zh-CN"/>
        </w:rPr>
        <w:t>部门</w:t>
      </w:r>
      <w:r>
        <w:rPr>
          <w:rFonts w:hint="eastAsia" w:ascii="仿宋_GB2312" w:eastAsia="仿宋_GB2312"/>
          <w:b w:val="0"/>
          <w:bCs w:val="0"/>
          <w:color w:val="auto"/>
          <w:sz w:val="32"/>
          <w:szCs w:val="32"/>
          <w:u w:val="none" w:color="auto"/>
        </w:rPr>
        <w:t>调整和存放地发生变动的，应及时在资产管理系统进行变更登记。</w:t>
      </w:r>
    </w:p>
    <w:p>
      <w:pPr>
        <w:keepNext w:val="0"/>
        <w:keepLines w:val="0"/>
        <w:pageBreakBefore w:val="0"/>
        <w:numPr>
          <w:ilvl w:val="0"/>
          <w:numId w:val="0"/>
        </w:numPr>
        <w:tabs>
          <w:tab w:val="left" w:pos="0"/>
        </w:tabs>
        <w:kinsoku/>
        <w:wordWrap/>
        <w:overflowPunct/>
        <w:topLinePunct w:val="0"/>
        <w:bidi w:val="0"/>
        <w:snapToGrid/>
        <w:spacing w:line="580" w:lineRule="exact"/>
        <w:ind w:left="-10" w:leftChars="0" w:firstLine="640" w:firstLineChars="0"/>
        <w:textAlignment w:val="auto"/>
        <w:rPr>
          <w:rFonts w:ascii="仿宋_GB2312" w:eastAsia="仿宋_GB2312"/>
          <w:sz w:val="32"/>
          <w:szCs w:val="32"/>
          <w:u w:val="none" w:color="auto"/>
        </w:rPr>
      </w:pPr>
      <w:r>
        <w:rPr>
          <w:rFonts w:hint="eastAsia" w:ascii="仿宋_GB2312" w:hAnsi="仿宋" w:eastAsia="仿宋_GB2312" w:cs="Times New Roman"/>
          <w:b/>
          <w:bCs/>
          <w:sz w:val="32"/>
          <w:szCs w:val="20"/>
          <w:u w:val="none" w:color="auto"/>
          <w:lang w:val="en-US" w:eastAsia="zh-CN"/>
        </w:rPr>
        <w:t xml:space="preserve">第三十条 </w:t>
      </w:r>
      <w:r>
        <w:rPr>
          <w:rFonts w:hint="eastAsia" w:ascii="仿宋_GB2312" w:eastAsia="仿宋_GB2312"/>
          <w:sz w:val="32"/>
          <w:szCs w:val="32"/>
          <w:u w:val="none" w:color="auto"/>
        </w:rPr>
        <w:t>坚持资产使用与管理相结合，注重使用绩效，积极推进学院国有资产整合、共享共用及有偿使用，提高学院国有资产的使用效率和效益。</w:t>
      </w:r>
    </w:p>
    <w:p>
      <w:pPr>
        <w:keepNext w:val="0"/>
        <w:keepLines w:val="0"/>
        <w:pageBreakBefore w:val="0"/>
        <w:numPr>
          <w:ilvl w:val="0"/>
          <w:numId w:val="0"/>
        </w:numPr>
        <w:tabs>
          <w:tab w:val="left" w:pos="0"/>
        </w:tabs>
        <w:kinsoku/>
        <w:wordWrap/>
        <w:overflowPunct/>
        <w:topLinePunct w:val="0"/>
        <w:bidi w:val="0"/>
        <w:snapToGrid/>
        <w:spacing w:line="580" w:lineRule="exact"/>
        <w:ind w:left="-10" w:leftChars="0" w:firstLine="640" w:firstLineChars="0"/>
        <w:textAlignment w:val="auto"/>
        <w:rPr>
          <w:rFonts w:hint="eastAsia" w:ascii="仿宋_GB2312" w:eastAsia="仿宋_GB2312"/>
          <w:sz w:val="32"/>
          <w:szCs w:val="32"/>
          <w:u w:val="none" w:color="auto"/>
        </w:rPr>
      </w:pPr>
      <w:r>
        <w:rPr>
          <w:rFonts w:hint="eastAsia" w:ascii="仿宋_GB2312" w:hAnsi="仿宋" w:eastAsia="仿宋_GB2312" w:cs="Times New Roman"/>
          <w:b/>
          <w:bCs/>
          <w:sz w:val="32"/>
          <w:szCs w:val="20"/>
          <w:u w:val="none" w:color="auto"/>
          <w:lang w:val="en-US" w:eastAsia="zh-CN"/>
        </w:rPr>
        <w:t>第三十一条</w:t>
      </w:r>
      <w:r>
        <w:rPr>
          <w:rFonts w:hint="eastAsia" w:ascii="仿宋_GB2312" w:hAnsi="仿宋" w:eastAsia="仿宋_GB2312" w:cs="Times New Roman"/>
          <w:b/>
          <w:bCs/>
          <w:sz w:val="32"/>
          <w:szCs w:val="20"/>
          <w:highlight w:val="none"/>
          <w:u w:val="none" w:color="auto"/>
          <w:lang w:val="en-US" w:eastAsia="zh-CN"/>
        </w:rPr>
        <w:t xml:space="preserve"> </w:t>
      </w:r>
      <w:r>
        <w:rPr>
          <w:rFonts w:hint="eastAsia" w:ascii="仿宋_GB2312" w:eastAsia="仿宋_GB2312"/>
          <w:sz w:val="32"/>
          <w:szCs w:val="32"/>
          <w:highlight w:val="none"/>
          <w:u w:val="none" w:color="auto"/>
        </w:rPr>
        <w:t>对外投资、出租、出借的学院国有资产实行专项管理，其中出租、出借资产需在资产管理系统同步登记，实现</w:t>
      </w:r>
      <w:r>
        <w:rPr>
          <w:rFonts w:hint="eastAsia" w:ascii="仿宋_GB2312" w:eastAsia="仿宋_GB2312"/>
          <w:sz w:val="32"/>
          <w:szCs w:val="32"/>
          <w:u w:val="none" w:color="auto"/>
        </w:rPr>
        <w:t>动态跟踪管理。对外投资收益以及利用学院国有资产出租、出借和科研成果形成的无形资产等取得的收入纳入学院预算，统一核算，统一管理，并根据有关规定上缴财政。</w:t>
      </w:r>
    </w:p>
    <w:p>
      <w:pPr>
        <w:keepNext w:val="0"/>
        <w:keepLines w:val="0"/>
        <w:pageBreakBefore w:val="0"/>
        <w:numPr>
          <w:ilvl w:val="0"/>
          <w:numId w:val="0"/>
        </w:numPr>
        <w:tabs>
          <w:tab w:val="left" w:pos="0"/>
        </w:tabs>
        <w:kinsoku/>
        <w:wordWrap/>
        <w:overflowPunct/>
        <w:topLinePunct w:val="0"/>
        <w:bidi w:val="0"/>
        <w:snapToGrid/>
        <w:spacing w:line="580" w:lineRule="exact"/>
        <w:ind w:left="-10" w:leftChars="0" w:firstLine="640" w:firstLineChars="0"/>
        <w:textAlignment w:val="auto"/>
        <w:rPr>
          <w:rFonts w:hint="eastAsia" w:ascii="仿宋_GB2312" w:eastAsia="仿宋_GB2312"/>
          <w:sz w:val="32"/>
          <w:szCs w:val="32"/>
          <w:u w:val="none" w:color="auto"/>
        </w:rPr>
      </w:pPr>
      <w:r>
        <w:rPr>
          <w:rFonts w:hint="eastAsia" w:ascii="仿宋_GB2312" w:hAnsi="仿宋" w:eastAsia="仿宋_GB2312" w:cs="Times New Roman"/>
          <w:b/>
          <w:bCs/>
          <w:sz w:val="32"/>
          <w:szCs w:val="20"/>
          <w:u w:val="none" w:color="auto"/>
          <w:lang w:val="en-US" w:eastAsia="zh-CN"/>
        </w:rPr>
        <w:t>第三十二条</w:t>
      </w:r>
      <w:r>
        <w:rPr>
          <w:rFonts w:hint="eastAsia" w:ascii="仿宋_GB2312" w:eastAsia="仿宋_GB2312"/>
          <w:sz w:val="32"/>
          <w:szCs w:val="32"/>
          <w:u w:val="none" w:color="auto"/>
        </w:rPr>
        <w:t xml:space="preserve"> </w:t>
      </w:r>
      <w:r>
        <w:rPr>
          <w:rFonts w:hint="eastAsia" w:ascii="仿宋_GB2312" w:eastAsia="仿宋_GB2312"/>
          <w:sz w:val="32"/>
          <w:szCs w:val="32"/>
          <w:u w:val="none" w:color="auto"/>
          <w:lang w:eastAsia="zh-CN"/>
        </w:rPr>
        <w:t>各部门</w:t>
      </w:r>
      <w:r>
        <w:rPr>
          <w:rFonts w:hint="eastAsia" w:ascii="仿宋_GB2312" w:eastAsia="仿宋_GB2312"/>
          <w:sz w:val="32"/>
          <w:szCs w:val="32"/>
          <w:u w:val="none" w:color="auto"/>
        </w:rPr>
        <w:t>不得擅自利用学院国有资产从事对外投资、出租、出借等经济活动，或以其他形式变相将学院国有资产交予他人占有、使用。有权属不清晰、被依法查封冻结、有争议、不符合安全标准等情形的资产不得出租出借。</w:t>
      </w:r>
    </w:p>
    <w:p>
      <w:pPr>
        <w:keepNext w:val="0"/>
        <w:keepLines w:val="0"/>
        <w:pageBreakBefore w:val="0"/>
        <w:numPr>
          <w:ilvl w:val="0"/>
          <w:numId w:val="0"/>
        </w:numPr>
        <w:tabs>
          <w:tab w:val="left" w:pos="0"/>
        </w:tabs>
        <w:kinsoku/>
        <w:wordWrap/>
        <w:overflowPunct/>
        <w:topLinePunct w:val="0"/>
        <w:bidi w:val="0"/>
        <w:snapToGrid/>
        <w:spacing w:line="580" w:lineRule="exact"/>
        <w:ind w:left="-10" w:leftChars="0" w:firstLine="640" w:firstLineChars="0"/>
        <w:textAlignment w:val="auto"/>
        <w:rPr>
          <w:rFonts w:ascii="仿宋_GB2312" w:eastAsia="仿宋_GB2312"/>
          <w:sz w:val="32"/>
          <w:szCs w:val="32"/>
          <w:u w:val="none" w:color="auto"/>
        </w:rPr>
      </w:pPr>
      <w:r>
        <w:rPr>
          <w:rFonts w:hint="eastAsia" w:ascii="仿宋_GB2312" w:hAnsi="仿宋" w:eastAsia="仿宋_GB2312" w:cs="Times New Roman"/>
          <w:b/>
          <w:bCs/>
          <w:sz w:val="32"/>
          <w:szCs w:val="20"/>
          <w:u w:val="none" w:color="auto"/>
          <w:lang w:val="en-US" w:eastAsia="zh-CN"/>
        </w:rPr>
        <w:t xml:space="preserve">第三十三条 </w:t>
      </w:r>
      <w:r>
        <w:rPr>
          <w:rFonts w:hint="eastAsia" w:ascii="仿宋_GB2312" w:eastAsia="仿宋_GB2312"/>
          <w:sz w:val="32"/>
          <w:szCs w:val="32"/>
          <w:u w:val="none" w:color="auto"/>
        </w:rPr>
        <w:t>各部门利用学院国有资产对外投资、出租、出借等事项，应当按照《江西省省属高校国有资产出租出借管理暂行办法》（赣财资〔2022〕26号）有关规定，并按以下权限予以审批：</w:t>
      </w:r>
    </w:p>
    <w:p>
      <w:pPr>
        <w:keepNext w:val="0"/>
        <w:keepLines w:val="0"/>
        <w:pageBreakBefore w:val="0"/>
        <w:kinsoku/>
        <w:wordWrap/>
        <w:overflowPunct/>
        <w:topLinePunct w:val="0"/>
        <w:bidi w:val="0"/>
        <w:snapToGrid/>
        <w:spacing w:line="580" w:lineRule="exact"/>
        <w:ind w:firstLine="640" w:firstLineChars="200"/>
        <w:textAlignment w:val="auto"/>
        <w:rPr>
          <w:rFonts w:ascii="仿宋_GB2312" w:eastAsia="仿宋_GB2312"/>
          <w:strike w:val="0"/>
          <w:dstrike w:val="0"/>
          <w:sz w:val="32"/>
          <w:szCs w:val="32"/>
          <w:u w:val="none" w:color="auto"/>
        </w:rPr>
      </w:pPr>
      <w:r>
        <w:rPr>
          <w:rFonts w:hint="eastAsia" w:ascii="仿宋_GB2312" w:eastAsia="仿宋_GB2312"/>
          <w:strike w:val="0"/>
          <w:dstrike w:val="0"/>
          <w:sz w:val="32"/>
          <w:szCs w:val="32"/>
          <w:u w:val="none" w:color="auto"/>
        </w:rPr>
        <w:t>（一）</w:t>
      </w:r>
      <w:r>
        <w:rPr>
          <w:rFonts w:ascii="仿宋_GB2312" w:eastAsia="仿宋_GB2312"/>
          <w:strike w:val="0"/>
          <w:dstrike w:val="0"/>
          <w:sz w:val="32"/>
          <w:szCs w:val="32"/>
          <w:u w:val="none" w:color="auto"/>
        </w:rPr>
        <w:t>出租出借土地、房屋及构筑物建筑面积单笔（或批量）在 300 平方米（含）以内的，以及除土地、房屋及构筑物以外的其他资产（以下简称其他资产）账面原值在 200 万元（含）以下的，由学院审批，报主管部门备案；</w:t>
      </w:r>
    </w:p>
    <w:p>
      <w:pPr>
        <w:keepNext w:val="0"/>
        <w:keepLines w:val="0"/>
        <w:pageBreakBefore w:val="0"/>
        <w:kinsoku/>
        <w:wordWrap/>
        <w:overflowPunct/>
        <w:topLinePunct w:val="0"/>
        <w:bidi w:val="0"/>
        <w:snapToGrid/>
        <w:spacing w:line="580" w:lineRule="exact"/>
        <w:ind w:firstLine="640" w:firstLineChars="200"/>
        <w:textAlignment w:val="auto"/>
        <w:rPr>
          <w:rFonts w:ascii="仿宋_GB2312" w:eastAsia="仿宋_GB2312"/>
          <w:strike w:val="0"/>
          <w:dstrike w:val="0"/>
          <w:sz w:val="32"/>
          <w:szCs w:val="32"/>
          <w:u w:val="none" w:color="auto"/>
        </w:rPr>
      </w:pPr>
      <w:r>
        <w:rPr>
          <w:rFonts w:hint="eastAsia" w:ascii="仿宋_GB2312" w:eastAsia="仿宋_GB2312"/>
          <w:strike w:val="0"/>
          <w:dstrike w:val="0"/>
          <w:sz w:val="32"/>
          <w:szCs w:val="32"/>
          <w:u w:val="none" w:color="auto"/>
        </w:rPr>
        <w:t>（二）</w:t>
      </w:r>
      <w:r>
        <w:rPr>
          <w:rFonts w:ascii="仿宋_GB2312" w:eastAsia="仿宋_GB2312"/>
          <w:strike w:val="0"/>
          <w:dstrike w:val="0"/>
          <w:sz w:val="32"/>
          <w:szCs w:val="32"/>
          <w:u w:val="none" w:color="auto"/>
        </w:rPr>
        <w:t>出租出借土地、房屋及构筑物建筑面积单笔（或批量）在 300 平方米以上 600 平方米（含）以下的，以及其他资产账面原值在 200 万元以上 500 万元（含）以下的，报主管部门审批；</w:t>
      </w:r>
    </w:p>
    <w:p>
      <w:pPr>
        <w:keepNext w:val="0"/>
        <w:keepLines w:val="0"/>
        <w:pageBreakBefore w:val="0"/>
        <w:kinsoku/>
        <w:wordWrap/>
        <w:overflowPunct/>
        <w:topLinePunct w:val="0"/>
        <w:bidi w:val="0"/>
        <w:snapToGrid/>
        <w:spacing w:line="580" w:lineRule="exact"/>
        <w:ind w:firstLine="640" w:firstLineChars="200"/>
        <w:textAlignment w:val="auto"/>
        <w:rPr>
          <w:rFonts w:ascii="仿宋_GB2312" w:eastAsia="仿宋_GB2312"/>
          <w:strike w:val="0"/>
          <w:dstrike w:val="0"/>
          <w:sz w:val="32"/>
          <w:szCs w:val="32"/>
          <w:u w:val="none" w:color="auto"/>
        </w:rPr>
      </w:pPr>
      <w:r>
        <w:rPr>
          <w:rFonts w:ascii="仿宋_GB2312" w:eastAsia="仿宋_GB2312"/>
          <w:strike w:val="0"/>
          <w:dstrike w:val="0"/>
          <w:sz w:val="32"/>
          <w:szCs w:val="32"/>
          <w:u w:val="none" w:color="auto"/>
        </w:rPr>
        <w:t>（三）出租出借土地、房屋及构筑物建筑面积单笔（或批量）在 600 平方米以上的，以及其他资产账面原值在 500 万元以上的，报主管部门审核后，由主管部门报</w:t>
      </w:r>
      <w:r>
        <w:rPr>
          <w:rFonts w:hint="eastAsia" w:ascii="仿宋_GB2312" w:eastAsia="仿宋_GB2312"/>
          <w:strike w:val="0"/>
          <w:dstrike w:val="0"/>
          <w:sz w:val="32"/>
          <w:szCs w:val="32"/>
          <w:u w:val="none" w:color="auto"/>
          <w:lang w:eastAsia="zh-CN"/>
        </w:rPr>
        <w:t>江西</w:t>
      </w:r>
      <w:r>
        <w:rPr>
          <w:rFonts w:ascii="仿宋_GB2312" w:eastAsia="仿宋_GB2312"/>
          <w:strike w:val="0"/>
          <w:dstrike w:val="0"/>
          <w:sz w:val="32"/>
          <w:szCs w:val="32"/>
          <w:u w:val="none" w:color="auto"/>
        </w:rPr>
        <w:t>省财政厅审批。</w:t>
      </w:r>
    </w:p>
    <w:p>
      <w:pPr>
        <w:keepNext w:val="0"/>
        <w:keepLines w:val="0"/>
        <w:pageBreakBefore w:val="0"/>
        <w:kinsoku/>
        <w:wordWrap/>
        <w:overflowPunct/>
        <w:topLinePunct w:val="0"/>
        <w:bidi w:val="0"/>
        <w:snapToGrid/>
        <w:spacing w:line="580" w:lineRule="exact"/>
        <w:ind w:firstLine="640" w:firstLineChars="200"/>
        <w:textAlignment w:val="auto"/>
        <w:rPr>
          <w:rFonts w:ascii="仿宋_GB2312" w:eastAsia="仿宋_GB2312"/>
          <w:strike/>
          <w:dstrike w:val="0"/>
          <w:sz w:val="32"/>
          <w:szCs w:val="32"/>
          <w:u w:val="none" w:color="auto"/>
        </w:rPr>
      </w:pPr>
      <w:r>
        <w:rPr>
          <w:rFonts w:hint="eastAsia" w:ascii="仿宋_GB2312" w:eastAsia="仿宋_GB2312"/>
          <w:strike w:val="0"/>
          <w:dstrike w:val="0"/>
          <w:sz w:val="32"/>
          <w:szCs w:val="32"/>
          <w:u w:val="none" w:color="auto"/>
        </w:rPr>
        <w:t>学院国有资产出租、出借（不含无偿借用）按照规定应当在江西省产权交易机构进行公开挂牌招租。国有资产出租、出借的期限一般不</w:t>
      </w:r>
      <w:r>
        <w:rPr>
          <w:rFonts w:hint="eastAsia" w:ascii="仿宋_GB2312" w:eastAsia="仿宋_GB2312"/>
          <w:strike w:val="0"/>
          <w:dstrike w:val="0"/>
          <w:color w:val="auto"/>
          <w:sz w:val="32"/>
          <w:szCs w:val="32"/>
          <w:u w:val="none" w:color="auto"/>
        </w:rPr>
        <w:t>超过</w:t>
      </w:r>
      <w:r>
        <w:rPr>
          <w:rFonts w:hint="eastAsia" w:ascii="仿宋_GB2312" w:eastAsia="仿宋_GB2312"/>
          <w:b w:val="0"/>
          <w:bCs w:val="0"/>
          <w:strike w:val="0"/>
          <w:dstrike w:val="0"/>
          <w:color w:val="auto"/>
          <w:sz w:val="32"/>
          <w:szCs w:val="32"/>
          <w:u w:val="none" w:color="auto"/>
          <w:lang w:val="en-US" w:eastAsia="zh-CN"/>
        </w:rPr>
        <w:t>5</w:t>
      </w:r>
      <w:r>
        <w:rPr>
          <w:rFonts w:hint="eastAsia" w:ascii="仿宋_GB2312" w:eastAsia="仿宋_GB2312"/>
          <w:strike w:val="0"/>
          <w:dstrike w:val="0"/>
          <w:color w:val="auto"/>
          <w:sz w:val="32"/>
          <w:szCs w:val="32"/>
          <w:u w:val="none" w:color="auto"/>
        </w:rPr>
        <w:t>年</w:t>
      </w:r>
      <w:r>
        <w:rPr>
          <w:rFonts w:hint="eastAsia" w:ascii="仿宋_GB2312" w:eastAsia="仿宋_GB2312"/>
          <w:strike w:val="0"/>
          <w:dstrike w:val="0"/>
          <w:sz w:val="32"/>
          <w:szCs w:val="32"/>
          <w:u w:val="none" w:color="auto"/>
        </w:rPr>
        <w:t>。</w:t>
      </w:r>
    </w:p>
    <w:p>
      <w:pPr>
        <w:keepNext w:val="0"/>
        <w:keepLines w:val="0"/>
        <w:pageBreakBefore w:val="0"/>
        <w:numPr>
          <w:ilvl w:val="0"/>
          <w:numId w:val="0"/>
        </w:numPr>
        <w:tabs>
          <w:tab w:val="left" w:pos="0"/>
        </w:tabs>
        <w:kinsoku/>
        <w:wordWrap/>
        <w:overflowPunct/>
        <w:topLinePunct w:val="0"/>
        <w:bidi w:val="0"/>
        <w:snapToGrid/>
        <w:spacing w:line="580" w:lineRule="exact"/>
        <w:ind w:left="-10" w:leftChars="0" w:firstLine="640" w:firstLineChars="0"/>
        <w:textAlignment w:val="auto"/>
        <w:rPr>
          <w:rFonts w:hint="eastAsia" w:ascii="仿宋_GB2312" w:eastAsia="仿宋_GB2312"/>
          <w:sz w:val="32"/>
          <w:szCs w:val="32"/>
          <w:u w:val="none" w:color="auto"/>
        </w:rPr>
      </w:pPr>
      <w:r>
        <w:rPr>
          <w:rFonts w:hint="eastAsia" w:ascii="仿宋_GB2312" w:hAnsi="仿宋" w:eastAsia="仿宋_GB2312" w:cs="Times New Roman"/>
          <w:b/>
          <w:bCs/>
          <w:sz w:val="32"/>
          <w:szCs w:val="20"/>
          <w:u w:val="none" w:color="auto"/>
          <w:lang w:val="en-US" w:eastAsia="zh-CN"/>
        </w:rPr>
        <w:t>第</w:t>
      </w:r>
      <w:r>
        <w:rPr>
          <w:rFonts w:hint="eastAsia" w:ascii="仿宋_GB2312" w:eastAsia="仿宋_GB2312"/>
          <w:b/>
          <w:bCs/>
          <w:sz w:val="32"/>
          <w:szCs w:val="32"/>
          <w:u w:val="none" w:color="auto"/>
          <w:lang w:val="en-US" w:eastAsia="zh-CN"/>
        </w:rPr>
        <w:t>三十四</w:t>
      </w:r>
      <w:r>
        <w:rPr>
          <w:rFonts w:hint="eastAsia" w:ascii="仿宋_GB2312" w:hAnsi="仿宋" w:eastAsia="仿宋_GB2312" w:cs="Times New Roman"/>
          <w:b/>
          <w:bCs/>
          <w:sz w:val="32"/>
          <w:szCs w:val="20"/>
          <w:u w:val="none" w:color="auto"/>
          <w:lang w:val="en-US" w:eastAsia="zh-CN"/>
        </w:rPr>
        <w:t xml:space="preserve">条 </w:t>
      </w:r>
      <w:r>
        <w:rPr>
          <w:rFonts w:hint="eastAsia" w:ascii="仿宋_GB2312" w:eastAsia="仿宋_GB2312"/>
          <w:sz w:val="32"/>
          <w:szCs w:val="32"/>
          <w:u w:val="none" w:color="auto"/>
        </w:rPr>
        <w:t>各</w:t>
      </w:r>
      <w:r>
        <w:rPr>
          <w:rFonts w:hint="eastAsia" w:ascii="仿宋_GB2312" w:eastAsia="仿宋_GB2312"/>
          <w:sz w:val="32"/>
          <w:szCs w:val="32"/>
          <w:u w:val="none" w:color="auto"/>
          <w:lang w:eastAsia="zh-CN"/>
        </w:rPr>
        <w:t>部门</w:t>
      </w:r>
      <w:r>
        <w:rPr>
          <w:rFonts w:hint="eastAsia" w:ascii="仿宋_GB2312" w:eastAsia="仿宋_GB2312"/>
          <w:sz w:val="32"/>
          <w:szCs w:val="32"/>
          <w:u w:val="none" w:color="auto"/>
        </w:rPr>
        <w:t>和个人对学</w:t>
      </w:r>
      <w:r>
        <w:rPr>
          <w:rFonts w:hint="eastAsia" w:ascii="仿宋_GB2312" w:eastAsia="仿宋_GB2312"/>
          <w:sz w:val="32"/>
          <w:szCs w:val="32"/>
          <w:u w:val="none" w:color="auto"/>
          <w:lang w:eastAsia="zh-CN"/>
        </w:rPr>
        <w:t>院</w:t>
      </w:r>
      <w:r>
        <w:rPr>
          <w:rFonts w:hint="eastAsia" w:ascii="仿宋_GB2312" w:eastAsia="仿宋_GB2312"/>
          <w:sz w:val="32"/>
          <w:szCs w:val="32"/>
          <w:u w:val="none" w:color="auto"/>
        </w:rPr>
        <w:t>持有科技成果的使用，依照《中华人民共和国促进科技成果转化法》、《中华人民共和国专利法》和国家有关规定执行。</w:t>
      </w:r>
    </w:p>
    <w:p>
      <w:pPr>
        <w:keepNext w:val="0"/>
        <w:keepLines w:val="0"/>
        <w:pageBreakBefore w:val="0"/>
        <w:widowControl w:val="0"/>
        <w:kinsoku/>
        <w:wordWrap/>
        <w:overflowPunct/>
        <w:topLinePunct w:val="0"/>
        <w:autoSpaceDE/>
        <w:autoSpaceDN/>
        <w:bidi w:val="0"/>
        <w:adjustRightInd/>
        <w:snapToGrid/>
        <w:spacing w:before="0" w:beforeLines="50" w:after="0" w:afterLines="50" w:line="580" w:lineRule="exact"/>
        <w:jc w:val="center"/>
        <w:textAlignment w:val="auto"/>
        <w:outlineLvl w:val="0"/>
        <w:rPr>
          <w:rFonts w:hint="eastAsia" w:ascii="黑体" w:hAnsi="黑体" w:eastAsia="黑体"/>
          <w:sz w:val="32"/>
          <w:szCs w:val="32"/>
          <w:u w:val="none" w:color="auto"/>
        </w:rPr>
      </w:pPr>
      <w:r>
        <w:rPr>
          <w:rFonts w:hint="eastAsia" w:ascii="黑体" w:hAnsi="黑体" w:eastAsia="黑体"/>
          <w:sz w:val="32"/>
          <w:szCs w:val="32"/>
          <w:u w:val="none" w:color="auto"/>
        </w:rPr>
        <w:t xml:space="preserve">第五章 </w:t>
      </w:r>
      <w:r>
        <w:rPr>
          <w:rFonts w:hint="eastAsia" w:ascii="黑体" w:hAnsi="黑体" w:eastAsia="黑体"/>
          <w:sz w:val="32"/>
          <w:szCs w:val="32"/>
          <w:u w:val="none" w:color="auto"/>
          <w:lang w:val="en-US" w:eastAsia="zh-CN"/>
        </w:rPr>
        <w:t xml:space="preserve"> </w:t>
      </w:r>
      <w:r>
        <w:rPr>
          <w:rFonts w:hint="eastAsia" w:ascii="黑体" w:hAnsi="黑体" w:eastAsia="黑体"/>
          <w:sz w:val="32"/>
          <w:szCs w:val="32"/>
          <w:u w:val="none" w:color="auto"/>
        </w:rPr>
        <w:t>资产处置</w:t>
      </w:r>
    </w:p>
    <w:p>
      <w:pPr>
        <w:keepNext w:val="0"/>
        <w:keepLines w:val="0"/>
        <w:pageBreakBefore w:val="0"/>
        <w:numPr>
          <w:ilvl w:val="0"/>
          <w:numId w:val="0"/>
        </w:numPr>
        <w:tabs>
          <w:tab w:val="left" w:pos="0"/>
        </w:tabs>
        <w:kinsoku/>
        <w:wordWrap/>
        <w:overflowPunct/>
        <w:topLinePunct w:val="0"/>
        <w:bidi w:val="0"/>
        <w:snapToGrid/>
        <w:spacing w:line="580" w:lineRule="exact"/>
        <w:ind w:left="-10" w:leftChars="0" w:firstLine="640" w:firstLineChars="0"/>
        <w:textAlignment w:val="auto"/>
        <w:rPr>
          <w:rFonts w:hint="eastAsia" w:ascii="仿宋_GB2312" w:eastAsia="仿宋_GB2312"/>
          <w:sz w:val="32"/>
          <w:szCs w:val="32"/>
          <w:u w:val="none" w:color="auto"/>
        </w:rPr>
      </w:pPr>
      <w:r>
        <w:rPr>
          <w:rFonts w:hint="eastAsia" w:ascii="仿宋_GB2312" w:eastAsia="仿宋_GB2312"/>
          <w:b/>
          <w:bCs/>
          <w:sz w:val="32"/>
          <w:szCs w:val="32"/>
          <w:u w:val="none" w:color="auto"/>
          <w:lang w:val="en-US" w:eastAsia="zh-CN"/>
        </w:rPr>
        <w:t>第三十五条</w:t>
      </w:r>
      <w:r>
        <w:rPr>
          <w:rFonts w:hint="eastAsia" w:ascii="仿宋" w:hAnsi="仿宋" w:eastAsia="仿宋" w:cs="仿宋"/>
          <w:b/>
          <w:kern w:val="2"/>
          <w:sz w:val="32"/>
          <w:szCs w:val="32"/>
          <w:u w:val="none" w:color="auto"/>
          <w:lang w:val="en-US" w:eastAsia="zh-CN" w:bidi="ar-SA"/>
        </w:rPr>
        <w:t xml:space="preserve"> </w:t>
      </w:r>
      <w:r>
        <w:rPr>
          <w:rFonts w:hint="eastAsia" w:ascii="仿宋_GB2312" w:eastAsia="仿宋_GB2312"/>
          <w:sz w:val="32"/>
          <w:szCs w:val="32"/>
          <w:u w:val="none" w:color="auto"/>
        </w:rPr>
        <w:t>国有资产处置是指学</w:t>
      </w:r>
      <w:r>
        <w:rPr>
          <w:rFonts w:hint="eastAsia" w:ascii="仿宋_GB2312" w:eastAsia="仿宋_GB2312"/>
          <w:sz w:val="32"/>
          <w:szCs w:val="32"/>
          <w:u w:val="none" w:color="auto"/>
          <w:lang w:eastAsia="zh-CN"/>
        </w:rPr>
        <w:t>院</w:t>
      </w:r>
      <w:r>
        <w:rPr>
          <w:rFonts w:hint="eastAsia" w:ascii="仿宋_GB2312" w:eastAsia="仿宋_GB2312"/>
          <w:sz w:val="32"/>
          <w:szCs w:val="32"/>
          <w:u w:val="none" w:color="auto"/>
        </w:rPr>
        <w:t>对占有、使用的各类国有资产进行产权转移或者注销的行为。</w:t>
      </w:r>
    </w:p>
    <w:p>
      <w:pPr>
        <w:keepNext w:val="0"/>
        <w:keepLines w:val="0"/>
        <w:pageBreakBefore w:val="0"/>
        <w:numPr>
          <w:ilvl w:val="0"/>
          <w:numId w:val="0"/>
        </w:numPr>
        <w:tabs>
          <w:tab w:val="left" w:pos="0"/>
        </w:tabs>
        <w:kinsoku/>
        <w:wordWrap/>
        <w:overflowPunct/>
        <w:topLinePunct w:val="0"/>
        <w:bidi w:val="0"/>
        <w:snapToGrid/>
        <w:spacing w:line="580" w:lineRule="exact"/>
        <w:ind w:left="-10" w:leftChars="0" w:firstLine="640" w:firstLineChars="0"/>
        <w:textAlignment w:val="auto"/>
        <w:rPr>
          <w:rFonts w:hint="default" w:ascii="仿宋_GB2312" w:eastAsia="仿宋_GB2312"/>
          <w:sz w:val="32"/>
          <w:szCs w:val="32"/>
          <w:u w:val="none" w:color="auto"/>
          <w:lang w:val="en-US" w:eastAsia="zh-CN"/>
        </w:rPr>
      </w:pPr>
      <w:r>
        <w:rPr>
          <w:rFonts w:hint="eastAsia" w:ascii="仿宋_GB2312" w:eastAsia="仿宋_GB2312"/>
          <w:b/>
          <w:bCs/>
          <w:sz w:val="32"/>
          <w:szCs w:val="32"/>
          <w:u w:val="none" w:color="auto"/>
          <w:lang w:val="en-US" w:eastAsia="zh-CN"/>
        </w:rPr>
        <w:t>第三十六条</w:t>
      </w:r>
      <w:r>
        <w:rPr>
          <w:rFonts w:hint="eastAsia" w:ascii="仿宋" w:hAnsi="仿宋" w:eastAsia="仿宋" w:cs="仿宋"/>
          <w:b/>
          <w:kern w:val="2"/>
          <w:sz w:val="32"/>
          <w:szCs w:val="32"/>
          <w:u w:val="none" w:color="auto"/>
          <w:lang w:val="en-US" w:eastAsia="zh-CN" w:bidi="ar-SA"/>
        </w:rPr>
        <w:t xml:space="preserve"> </w:t>
      </w:r>
      <w:r>
        <w:rPr>
          <w:rFonts w:hint="eastAsia" w:ascii="仿宋_GB2312" w:eastAsia="仿宋_GB2312"/>
          <w:sz w:val="32"/>
          <w:szCs w:val="32"/>
          <w:u w:val="none" w:color="auto"/>
        </w:rPr>
        <w:t>学</w:t>
      </w:r>
      <w:r>
        <w:rPr>
          <w:rFonts w:hint="eastAsia" w:ascii="仿宋_GB2312" w:eastAsia="仿宋_GB2312"/>
          <w:sz w:val="32"/>
          <w:szCs w:val="32"/>
          <w:u w:val="none" w:color="auto"/>
          <w:lang w:eastAsia="zh-CN"/>
        </w:rPr>
        <w:t>院国有</w:t>
      </w:r>
      <w:r>
        <w:rPr>
          <w:rFonts w:hint="eastAsia" w:ascii="仿宋_GB2312" w:eastAsia="仿宋_GB2312"/>
          <w:sz w:val="32"/>
          <w:szCs w:val="32"/>
          <w:u w:val="none" w:color="auto"/>
        </w:rPr>
        <w:t>资产处置应当</w:t>
      </w:r>
      <w:r>
        <w:rPr>
          <w:rFonts w:hint="eastAsia" w:ascii="仿宋_GB2312" w:eastAsia="仿宋_GB2312"/>
          <w:sz w:val="32"/>
          <w:szCs w:val="32"/>
          <w:u w:val="none" w:color="auto"/>
          <w:lang w:eastAsia="zh-CN"/>
        </w:rPr>
        <w:t>遵循公开、公正、公平和竞争择优等原则，按照规定权限履行审批手续，未经批准不得自行处置。</w:t>
      </w:r>
    </w:p>
    <w:p>
      <w:pPr>
        <w:keepNext w:val="0"/>
        <w:keepLines w:val="0"/>
        <w:pageBreakBefore w:val="0"/>
        <w:numPr>
          <w:ilvl w:val="0"/>
          <w:numId w:val="0"/>
        </w:numPr>
        <w:tabs>
          <w:tab w:val="left" w:pos="0"/>
        </w:tabs>
        <w:kinsoku/>
        <w:wordWrap/>
        <w:overflowPunct/>
        <w:topLinePunct w:val="0"/>
        <w:bidi w:val="0"/>
        <w:snapToGrid/>
        <w:spacing w:line="580" w:lineRule="exact"/>
        <w:ind w:left="-10" w:leftChars="0" w:firstLine="640" w:firstLineChars="0"/>
        <w:textAlignment w:val="auto"/>
        <w:rPr>
          <w:rFonts w:hint="eastAsia" w:ascii="仿宋_GB2312" w:eastAsia="仿宋_GB2312"/>
          <w:sz w:val="32"/>
          <w:szCs w:val="32"/>
          <w:u w:val="none" w:color="auto"/>
        </w:rPr>
      </w:pPr>
      <w:r>
        <w:rPr>
          <w:rFonts w:hint="eastAsia" w:ascii="仿宋_GB2312" w:eastAsia="仿宋_GB2312"/>
          <w:b/>
          <w:bCs/>
          <w:sz w:val="32"/>
          <w:szCs w:val="32"/>
          <w:u w:val="none" w:color="auto"/>
          <w:lang w:val="en-US" w:eastAsia="zh-CN"/>
        </w:rPr>
        <w:t>第</w:t>
      </w:r>
      <w:r>
        <w:rPr>
          <w:rFonts w:hint="eastAsia" w:ascii="仿宋_GB2312" w:eastAsia="仿宋_GB2312"/>
          <w:b/>
          <w:bCs/>
          <w:sz w:val="32"/>
          <w:szCs w:val="32"/>
          <w:u w:val="none" w:color="auto"/>
          <w:lang w:eastAsia="zh-CN"/>
        </w:rPr>
        <w:t>三十七</w:t>
      </w:r>
      <w:r>
        <w:rPr>
          <w:rFonts w:hint="eastAsia" w:ascii="仿宋_GB2312" w:eastAsia="仿宋_GB2312"/>
          <w:b/>
          <w:bCs/>
          <w:sz w:val="32"/>
          <w:szCs w:val="32"/>
          <w:u w:val="none" w:color="auto"/>
          <w:lang w:val="en-US" w:eastAsia="zh-CN"/>
        </w:rPr>
        <w:t>条</w:t>
      </w:r>
      <w:r>
        <w:rPr>
          <w:rFonts w:hint="eastAsia" w:ascii="仿宋" w:hAnsi="仿宋" w:eastAsia="仿宋" w:cs="仿宋"/>
          <w:b/>
          <w:kern w:val="2"/>
          <w:sz w:val="32"/>
          <w:szCs w:val="32"/>
          <w:u w:val="none" w:color="auto"/>
          <w:lang w:val="en-US" w:eastAsia="zh-CN" w:bidi="ar-SA"/>
        </w:rPr>
        <w:t xml:space="preserve"> </w:t>
      </w:r>
      <w:r>
        <w:rPr>
          <w:rFonts w:hint="eastAsia" w:ascii="仿宋_GB2312" w:eastAsia="仿宋_GB2312"/>
          <w:sz w:val="32"/>
          <w:szCs w:val="32"/>
          <w:u w:val="none" w:color="auto"/>
        </w:rPr>
        <w:t>国有资产处置方式包括无偿划转、对外捐赠、转让、置换、报废、报损、损失核销等。</w:t>
      </w:r>
    </w:p>
    <w:p>
      <w:pPr>
        <w:keepNext w:val="0"/>
        <w:keepLines w:val="0"/>
        <w:pageBreakBefore w:val="0"/>
        <w:numPr>
          <w:ilvl w:val="0"/>
          <w:numId w:val="0"/>
        </w:numPr>
        <w:tabs>
          <w:tab w:val="left" w:pos="0"/>
        </w:tabs>
        <w:kinsoku/>
        <w:wordWrap/>
        <w:overflowPunct/>
        <w:topLinePunct w:val="0"/>
        <w:bidi w:val="0"/>
        <w:snapToGrid/>
        <w:spacing w:line="580" w:lineRule="exact"/>
        <w:ind w:firstLine="640" w:firstLineChars="200"/>
        <w:textAlignment w:val="auto"/>
        <w:rPr>
          <w:rFonts w:hint="eastAsia" w:ascii="仿宋_GB2312" w:eastAsia="仿宋_GB2312"/>
          <w:sz w:val="32"/>
          <w:szCs w:val="32"/>
          <w:u w:val="none" w:color="auto"/>
        </w:rPr>
      </w:pPr>
      <w:r>
        <w:rPr>
          <w:rFonts w:hint="eastAsia" w:ascii="仿宋_GB2312" w:eastAsia="仿宋_GB2312"/>
          <w:sz w:val="32"/>
          <w:szCs w:val="32"/>
          <w:u w:val="none" w:color="auto"/>
          <w:lang w:eastAsia="zh-CN"/>
        </w:rPr>
        <w:t>（</w:t>
      </w:r>
      <w:r>
        <w:rPr>
          <w:rFonts w:hint="eastAsia" w:ascii="仿宋_GB2312" w:eastAsia="仿宋_GB2312"/>
          <w:sz w:val="32"/>
          <w:szCs w:val="32"/>
          <w:u w:val="none" w:color="auto"/>
        </w:rPr>
        <w:t>一</w:t>
      </w:r>
      <w:r>
        <w:rPr>
          <w:rFonts w:hint="eastAsia" w:ascii="仿宋_GB2312" w:eastAsia="仿宋_GB2312"/>
          <w:sz w:val="32"/>
          <w:szCs w:val="32"/>
          <w:u w:val="none" w:color="auto"/>
          <w:lang w:eastAsia="zh-CN"/>
        </w:rPr>
        <w:t>）</w:t>
      </w:r>
      <w:r>
        <w:rPr>
          <w:rFonts w:hint="eastAsia" w:ascii="仿宋_GB2312" w:eastAsia="仿宋_GB2312"/>
          <w:sz w:val="32"/>
          <w:szCs w:val="32"/>
          <w:u w:val="none" w:color="auto"/>
        </w:rPr>
        <w:t>无偿划转是指在不改变国有资产性质的</w:t>
      </w:r>
      <w:r>
        <w:rPr>
          <w:rFonts w:hint="eastAsia" w:ascii="仿宋_GB2312" w:eastAsia="仿宋_GB2312"/>
          <w:sz w:val="32"/>
          <w:szCs w:val="32"/>
          <w:u w:val="none" w:color="auto"/>
          <w:lang w:eastAsia="zh-CN"/>
        </w:rPr>
        <w:t>前提</w:t>
      </w:r>
      <w:r>
        <w:rPr>
          <w:rFonts w:hint="eastAsia" w:ascii="仿宋_GB2312" w:eastAsia="仿宋_GB2312"/>
          <w:sz w:val="32"/>
          <w:szCs w:val="32"/>
          <w:u w:val="none" w:color="auto"/>
        </w:rPr>
        <w:t>下，以无偿</w:t>
      </w:r>
      <w:r>
        <w:rPr>
          <w:rFonts w:hint="eastAsia" w:ascii="仿宋_GB2312" w:eastAsia="仿宋_GB2312"/>
          <w:sz w:val="32"/>
          <w:szCs w:val="32"/>
          <w:u w:val="none" w:color="auto"/>
          <w:lang w:eastAsia="zh-CN"/>
        </w:rPr>
        <w:t>转让</w:t>
      </w:r>
      <w:r>
        <w:rPr>
          <w:rFonts w:hint="eastAsia" w:ascii="仿宋_GB2312" w:eastAsia="仿宋_GB2312"/>
          <w:sz w:val="32"/>
          <w:szCs w:val="32"/>
          <w:u w:val="none" w:color="auto"/>
        </w:rPr>
        <w:t>的方式变更国有资产占有、使用权的行为。</w:t>
      </w:r>
    </w:p>
    <w:p>
      <w:pPr>
        <w:keepNext w:val="0"/>
        <w:keepLines w:val="0"/>
        <w:pageBreakBefore w:val="0"/>
        <w:numPr>
          <w:ilvl w:val="0"/>
          <w:numId w:val="0"/>
        </w:numPr>
        <w:tabs>
          <w:tab w:val="left" w:pos="0"/>
        </w:tabs>
        <w:kinsoku/>
        <w:wordWrap/>
        <w:overflowPunct/>
        <w:topLinePunct w:val="0"/>
        <w:bidi w:val="0"/>
        <w:snapToGrid/>
        <w:spacing w:line="580" w:lineRule="exact"/>
        <w:ind w:firstLine="640" w:firstLineChars="200"/>
        <w:textAlignment w:val="auto"/>
        <w:rPr>
          <w:rFonts w:hint="eastAsia" w:ascii="仿宋_GB2312" w:eastAsia="仿宋_GB2312"/>
          <w:sz w:val="32"/>
          <w:szCs w:val="32"/>
          <w:u w:val="none" w:color="auto"/>
          <w:lang w:eastAsia="zh-CN"/>
        </w:rPr>
      </w:pPr>
      <w:r>
        <w:rPr>
          <w:rFonts w:hint="eastAsia" w:ascii="仿宋_GB2312" w:eastAsia="仿宋_GB2312"/>
          <w:sz w:val="32"/>
          <w:szCs w:val="32"/>
          <w:u w:val="none" w:color="auto"/>
          <w:lang w:eastAsia="zh-CN"/>
        </w:rPr>
        <w:t>（</w:t>
      </w:r>
      <w:r>
        <w:rPr>
          <w:rFonts w:hint="eastAsia" w:ascii="仿宋_GB2312" w:eastAsia="仿宋_GB2312"/>
          <w:sz w:val="32"/>
          <w:szCs w:val="32"/>
          <w:u w:val="none" w:color="auto"/>
        </w:rPr>
        <w:t>二</w:t>
      </w:r>
      <w:r>
        <w:rPr>
          <w:rFonts w:hint="eastAsia" w:ascii="仿宋_GB2312" w:eastAsia="仿宋_GB2312"/>
          <w:sz w:val="32"/>
          <w:szCs w:val="32"/>
          <w:u w:val="none" w:color="auto"/>
          <w:lang w:eastAsia="zh-CN"/>
        </w:rPr>
        <w:t>）</w:t>
      </w:r>
      <w:r>
        <w:rPr>
          <w:rFonts w:hint="eastAsia" w:ascii="仿宋_GB2312" w:eastAsia="仿宋_GB2312"/>
          <w:sz w:val="32"/>
          <w:szCs w:val="32"/>
          <w:u w:val="none" w:color="auto"/>
        </w:rPr>
        <w:t>对外捐赠是指</w:t>
      </w:r>
      <w:r>
        <w:rPr>
          <w:rFonts w:hint="eastAsia" w:ascii="仿宋_GB2312" w:eastAsia="仿宋_GB2312"/>
          <w:sz w:val="32"/>
          <w:szCs w:val="32"/>
          <w:u w:val="none" w:color="auto"/>
          <w:lang w:eastAsia="zh-CN"/>
        </w:rPr>
        <w:t>学院</w:t>
      </w:r>
      <w:r>
        <w:rPr>
          <w:rFonts w:hint="eastAsia" w:ascii="仿宋_GB2312" w:eastAsia="仿宋_GB2312"/>
          <w:sz w:val="32"/>
          <w:szCs w:val="32"/>
          <w:u w:val="none" w:color="auto"/>
        </w:rPr>
        <w:t>依照《中华人民共和国公益事业捐赠法》等法律，自愿无偿将其</w:t>
      </w:r>
      <w:r>
        <w:rPr>
          <w:rFonts w:hint="eastAsia" w:ascii="仿宋_GB2312" w:eastAsia="仿宋_GB2312"/>
          <w:sz w:val="32"/>
          <w:szCs w:val="32"/>
          <w:u w:val="none" w:color="auto"/>
          <w:lang w:eastAsia="zh-CN"/>
        </w:rPr>
        <w:t>占有、使用的国有资产赠与合法受赠人的行为。</w:t>
      </w:r>
    </w:p>
    <w:p>
      <w:pPr>
        <w:keepNext w:val="0"/>
        <w:keepLines w:val="0"/>
        <w:pageBreakBefore w:val="0"/>
        <w:numPr>
          <w:ilvl w:val="0"/>
          <w:numId w:val="0"/>
        </w:numPr>
        <w:tabs>
          <w:tab w:val="left" w:pos="0"/>
        </w:tabs>
        <w:kinsoku/>
        <w:wordWrap/>
        <w:overflowPunct/>
        <w:topLinePunct w:val="0"/>
        <w:bidi w:val="0"/>
        <w:snapToGrid/>
        <w:spacing w:line="580" w:lineRule="exact"/>
        <w:ind w:firstLine="640" w:firstLineChars="200"/>
        <w:textAlignment w:val="auto"/>
        <w:rPr>
          <w:rFonts w:hint="eastAsia" w:ascii="仿宋_GB2312" w:eastAsia="仿宋_GB2312"/>
          <w:sz w:val="32"/>
          <w:szCs w:val="32"/>
          <w:u w:val="none" w:color="auto"/>
        </w:rPr>
      </w:pPr>
      <w:r>
        <w:rPr>
          <w:rFonts w:hint="eastAsia" w:ascii="仿宋_GB2312" w:eastAsia="仿宋_GB2312"/>
          <w:sz w:val="32"/>
          <w:szCs w:val="32"/>
          <w:u w:val="none" w:color="auto"/>
          <w:lang w:eastAsia="zh-CN"/>
        </w:rPr>
        <w:t>（</w:t>
      </w:r>
      <w:r>
        <w:rPr>
          <w:rFonts w:hint="eastAsia" w:ascii="仿宋_GB2312" w:eastAsia="仿宋_GB2312"/>
          <w:sz w:val="32"/>
          <w:szCs w:val="32"/>
          <w:u w:val="none" w:color="auto"/>
        </w:rPr>
        <w:t>三</w:t>
      </w:r>
      <w:r>
        <w:rPr>
          <w:rFonts w:hint="eastAsia" w:ascii="仿宋_GB2312" w:eastAsia="仿宋_GB2312"/>
          <w:sz w:val="32"/>
          <w:szCs w:val="32"/>
          <w:u w:val="none" w:color="auto"/>
          <w:lang w:eastAsia="zh-CN"/>
        </w:rPr>
        <w:t>）</w:t>
      </w:r>
      <w:r>
        <w:rPr>
          <w:rFonts w:hint="eastAsia" w:ascii="仿宋_GB2312" w:eastAsia="仿宋_GB2312"/>
          <w:sz w:val="32"/>
          <w:szCs w:val="32"/>
          <w:u w:val="none" w:color="auto"/>
        </w:rPr>
        <w:t>转让是</w:t>
      </w:r>
      <w:r>
        <w:rPr>
          <w:rFonts w:hint="eastAsia" w:ascii="仿宋_GB2312" w:eastAsia="仿宋_GB2312"/>
          <w:sz w:val="32"/>
          <w:szCs w:val="32"/>
          <w:u w:val="none" w:color="auto"/>
          <w:lang w:eastAsia="zh-CN"/>
        </w:rPr>
        <w:t>指学院变更国有资产占有、使用权并取得收益的行为</w:t>
      </w:r>
      <w:r>
        <w:rPr>
          <w:rFonts w:hint="eastAsia" w:ascii="仿宋_GB2312" w:eastAsia="仿宋_GB2312"/>
          <w:sz w:val="32"/>
          <w:szCs w:val="32"/>
          <w:u w:val="none" w:color="auto"/>
        </w:rPr>
        <w:t>。</w:t>
      </w:r>
    </w:p>
    <w:p>
      <w:pPr>
        <w:keepNext w:val="0"/>
        <w:keepLines w:val="0"/>
        <w:pageBreakBefore w:val="0"/>
        <w:numPr>
          <w:ilvl w:val="0"/>
          <w:numId w:val="0"/>
        </w:numPr>
        <w:tabs>
          <w:tab w:val="left" w:pos="0"/>
        </w:tabs>
        <w:kinsoku/>
        <w:wordWrap/>
        <w:overflowPunct/>
        <w:topLinePunct w:val="0"/>
        <w:bidi w:val="0"/>
        <w:snapToGrid/>
        <w:spacing w:line="580" w:lineRule="exact"/>
        <w:ind w:firstLine="640" w:firstLineChars="200"/>
        <w:textAlignment w:val="auto"/>
        <w:rPr>
          <w:rFonts w:hint="eastAsia" w:ascii="仿宋_GB2312" w:eastAsia="仿宋_GB2312"/>
          <w:sz w:val="32"/>
          <w:szCs w:val="32"/>
          <w:u w:val="none" w:color="auto"/>
          <w:lang w:eastAsia="zh-CN"/>
        </w:rPr>
      </w:pPr>
      <w:r>
        <w:rPr>
          <w:rFonts w:hint="eastAsia" w:ascii="仿宋_GB2312" w:eastAsia="仿宋_GB2312"/>
          <w:sz w:val="32"/>
          <w:szCs w:val="32"/>
          <w:u w:val="none" w:color="auto"/>
          <w:lang w:eastAsia="zh-CN"/>
        </w:rPr>
        <w:t>（四）置换是指学院与其他单位以固定资产、无形资产为主进行的资产交换，一般不涉及货币性资产或者只涉及用于补差价的少量货币性资产。</w:t>
      </w:r>
    </w:p>
    <w:p>
      <w:pPr>
        <w:keepNext w:val="0"/>
        <w:keepLines w:val="0"/>
        <w:pageBreakBefore w:val="0"/>
        <w:numPr>
          <w:ilvl w:val="0"/>
          <w:numId w:val="0"/>
        </w:numPr>
        <w:tabs>
          <w:tab w:val="left" w:pos="0"/>
        </w:tabs>
        <w:kinsoku/>
        <w:wordWrap/>
        <w:overflowPunct/>
        <w:topLinePunct w:val="0"/>
        <w:bidi w:val="0"/>
        <w:snapToGrid/>
        <w:spacing w:line="580" w:lineRule="exact"/>
        <w:ind w:firstLine="640" w:firstLineChars="200"/>
        <w:textAlignment w:val="auto"/>
        <w:rPr>
          <w:rFonts w:hint="eastAsia" w:ascii="仿宋_GB2312" w:eastAsia="仿宋_GB2312"/>
          <w:sz w:val="32"/>
          <w:szCs w:val="32"/>
          <w:u w:val="none" w:color="auto"/>
          <w:lang w:eastAsia="zh-CN"/>
        </w:rPr>
      </w:pPr>
      <w:r>
        <w:rPr>
          <w:rFonts w:hint="eastAsia" w:ascii="仿宋_GB2312" w:eastAsia="仿宋_GB2312"/>
          <w:sz w:val="32"/>
          <w:szCs w:val="32"/>
          <w:u w:val="none" w:color="auto"/>
          <w:lang w:eastAsia="zh-CN"/>
        </w:rPr>
        <w:t>（五）</w:t>
      </w:r>
      <w:r>
        <w:rPr>
          <w:rFonts w:hint="eastAsia" w:ascii="仿宋_GB2312" w:eastAsia="仿宋_GB2312"/>
          <w:sz w:val="32"/>
          <w:szCs w:val="32"/>
          <w:u w:val="none" w:color="auto"/>
        </w:rPr>
        <w:t>报废是指按有关规定或经有关部门、专家鉴定</w:t>
      </w:r>
      <w:r>
        <w:rPr>
          <w:rFonts w:hint="eastAsia" w:ascii="仿宋_GB2312" w:eastAsia="仿宋_GB2312"/>
          <w:sz w:val="32"/>
          <w:szCs w:val="32"/>
          <w:u w:val="none" w:color="auto"/>
          <w:lang w:eastAsia="zh-CN"/>
        </w:rPr>
        <w:t>，对因技术原因确需淘汰或者无法维修、无维修价值的国有资产，或者已超过使用年限且无法满足工作需要的国有资产，进行产权核销的国有资产处置行为。</w:t>
      </w:r>
    </w:p>
    <w:p>
      <w:pPr>
        <w:keepNext w:val="0"/>
        <w:keepLines w:val="0"/>
        <w:pageBreakBefore w:val="0"/>
        <w:numPr>
          <w:ilvl w:val="0"/>
          <w:numId w:val="0"/>
        </w:numPr>
        <w:tabs>
          <w:tab w:val="left" w:pos="0"/>
        </w:tabs>
        <w:kinsoku/>
        <w:wordWrap/>
        <w:overflowPunct/>
        <w:topLinePunct w:val="0"/>
        <w:bidi w:val="0"/>
        <w:snapToGrid/>
        <w:spacing w:line="580" w:lineRule="exact"/>
        <w:ind w:firstLine="640" w:firstLineChars="200"/>
        <w:textAlignment w:val="auto"/>
        <w:rPr>
          <w:rFonts w:hint="eastAsia" w:ascii="仿宋_GB2312" w:eastAsia="仿宋_GB2312"/>
          <w:sz w:val="32"/>
          <w:szCs w:val="32"/>
          <w:u w:val="none" w:color="auto"/>
          <w:lang w:eastAsia="zh-CN"/>
        </w:rPr>
      </w:pPr>
      <w:r>
        <w:rPr>
          <w:rFonts w:hint="eastAsia" w:ascii="仿宋_GB2312" w:eastAsia="仿宋_GB2312"/>
          <w:sz w:val="32"/>
          <w:szCs w:val="32"/>
          <w:u w:val="none" w:color="auto"/>
          <w:lang w:eastAsia="zh-CN"/>
        </w:rPr>
        <w:t>（六）损失核销是指由于发生盘亏、毁损、非正常损失等原因，按照有关规定对国有资产损失进行的国家资产处置行为。</w:t>
      </w:r>
    </w:p>
    <w:p>
      <w:pPr>
        <w:keepNext w:val="0"/>
        <w:keepLines w:val="0"/>
        <w:pageBreakBefore w:val="0"/>
        <w:numPr>
          <w:ilvl w:val="0"/>
          <w:numId w:val="0"/>
        </w:numPr>
        <w:tabs>
          <w:tab w:val="left" w:pos="0"/>
        </w:tabs>
        <w:kinsoku/>
        <w:wordWrap/>
        <w:overflowPunct/>
        <w:topLinePunct w:val="0"/>
        <w:bidi w:val="0"/>
        <w:snapToGrid/>
        <w:spacing w:line="580" w:lineRule="exact"/>
        <w:ind w:firstLine="643" w:firstLineChars="200"/>
        <w:textAlignment w:val="auto"/>
        <w:rPr>
          <w:rFonts w:hint="eastAsia" w:ascii="仿宋_GB2312" w:eastAsia="仿宋_GB2312"/>
          <w:sz w:val="32"/>
          <w:szCs w:val="32"/>
          <w:u w:val="none" w:color="auto"/>
        </w:rPr>
      </w:pPr>
      <w:r>
        <w:rPr>
          <w:rFonts w:hint="eastAsia" w:ascii="仿宋_GB2312" w:eastAsia="仿宋_GB2312"/>
          <w:b/>
          <w:bCs/>
          <w:sz w:val="32"/>
          <w:szCs w:val="32"/>
          <w:u w:val="none" w:color="auto"/>
          <w:lang w:eastAsia="zh-CN"/>
        </w:rPr>
        <w:t>第</w:t>
      </w:r>
      <w:r>
        <w:rPr>
          <w:rFonts w:hint="eastAsia" w:ascii="仿宋_GB2312" w:eastAsia="仿宋_GB2312"/>
          <w:b/>
          <w:bCs/>
          <w:sz w:val="32"/>
          <w:szCs w:val="32"/>
          <w:u w:val="none" w:color="auto"/>
          <w:lang w:val="en-US" w:eastAsia="zh-CN"/>
        </w:rPr>
        <w:t>三十八</w:t>
      </w:r>
      <w:r>
        <w:rPr>
          <w:rFonts w:hint="eastAsia" w:ascii="仿宋_GB2312" w:eastAsia="仿宋_GB2312"/>
          <w:b/>
          <w:bCs/>
          <w:sz w:val="32"/>
          <w:szCs w:val="32"/>
          <w:u w:val="none" w:color="auto"/>
          <w:lang w:eastAsia="zh-CN"/>
        </w:rPr>
        <w:t>条</w:t>
      </w:r>
      <w:r>
        <w:rPr>
          <w:rFonts w:hint="eastAsia" w:ascii="仿宋_GB2312" w:eastAsia="仿宋_GB2312"/>
          <w:sz w:val="32"/>
          <w:szCs w:val="32"/>
          <w:u w:val="none" w:color="auto"/>
          <w:lang w:val="en-US" w:eastAsia="zh-CN"/>
        </w:rPr>
        <w:t xml:space="preserve"> </w:t>
      </w:r>
      <w:r>
        <w:rPr>
          <w:rFonts w:hint="eastAsia" w:ascii="仿宋_GB2312" w:eastAsia="仿宋_GB2312"/>
          <w:sz w:val="32"/>
          <w:szCs w:val="32"/>
          <w:u w:val="none" w:color="auto"/>
        </w:rPr>
        <w:t>符合下列情形的国有资产应当予以</w:t>
      </w:r>
      <w:r>
        <w:rPr>
          <w:rFonts w:hint="eastAsia" w:ascii="仿宋_GB2312" w:eastAsia="仿宋_GB2312"/>
          <w:sz w:val="32"/>
          <w:szCs w:val="32"/>
          <w:u w:val="none" w:color="auto"/>
          <w:lang w:eastAsia="zh-CN"/>
        </w:rPr>
        <w:t>处置</w:t>
      </w:r>
      <w:r>
        <w:rPr>
          <w:rFonts w:hint="eastAsia" w:ascii="仿宋_GB2312" w:eastAsia="仿宋_GB2312"/>
          <w:sz w:val="32"/>
          <w:szCs w:val="32"/>
          <w:u w:val="none" w:color="auto"/>
        </w:rPr>
        <w:t>：</w:t>
      </w:r>
    </w:p>
    <w:p>
      <w:pPr>
        <w:keepNext w:val="0"/>
        <w:keepLines w:val="0"/>
        <w:pageBreakBefore w:val="0"/>
        <w:numPr>
          <w:ilvl w:val="0"/>
          <w:numId w:val="0"/>
        </w:numPr>
        <w:tabs>
          <w:tab w:val="left" w:pos="0"/>
        </w:tabs>
        <w:kinsoku/>
        <w:wordWrap/>
        <w:overflowPunct/>
        <w:topLinePunct w:val="0"/>
        <w:bidi w:val="0"/>
        <w:snapToGrid/>
        <w:spacing w:line="580" w:lineRule="exact"/>
        <w:ind w:firstLine="640" w:firstLineChars="200"/>
        <w:textAlignment w:val="auto"/>
        <w:rPr>
          <w:rFonts w:hint="eastAsia" w:ascii="仿宋_GB2312" w:eastAsia="仿宋_GB2312"/>
          <w:sz w:val="32"/>
          <w:szCs w:val="32"/>
          <w:u w:val="none" w:color="auto"/>
        </w:rPr>
      </w:pPr>
      <w:r>
        <w:rPr>
          <w:rFonts w:hint="eastAsia" w:ascii="仿宋_GB2312" w:eastAsia="仿宋_GB2312"/>
          <w:sz w:val="32"/>
          <w:szCs w:val="32"/>
          <w:u w:val="none" w:color="auto"/>
        </w:rPr>
        <w:t>（一）因技术原因确需淘汰或者无法维修、无维修价值的；</w:t>
      </w:r>
    </w:p>
    <w:p>
      <w:pPr>
        <w:keepNext w:val="0"/>
        <w:keepLines w:val="0"/>
        <w:pageBreakBefore w:val="0"/>
        <w:numPr>
          <w:ilvl w:val="0"/>
          <w:numId w:val="0"/>
        </w:numPr>
        <w:tabs>
          <w:tab w:val="left" w:pos="0"/>
        </w:tabs>
        <w:kinsoku/>
        <w:wordWrap/>
        <w:overflowPunct/>
        <w:topLinePunct w:val="0"/>
        <w:bidi w:val="0"/>
        <w:snapToGrid/>
        <w:spacing w:line="580" w:lineRule="exact"/>
        <w:ind w:firstLine="640" w:firstLineChars="200"/>
        <w:textAlignment w:val="auto"/>
        <w:rPr>
          <w:rFonts w:hint="eastAsia" w:ascii="仿宋_GB2312" w:eastAsia="仿宋_GB2312"/>
          <w:sz w:val="32"/>
          <w:szCs w:val="32"/>
          <w:u w:val="none" w:color="auto"/>
        </w:rPr>
      </w:pPr>
      <w:r>
        <w:rPr>
          <w:rFonts w:hint="eastAsia" w:ascii="仿宋_GB2312" w:eastAsia="仿宋_GB2312"/>
          <w:sz w:val="32"/>
          <w:szCs w:val="32"/>
          <w:u w:val="none" w:color="auto"/>
        </w:rPr>
        <w:t>（二）涉及盘亏等非正常损失的；</w:t>
      </w:r>
    </w:p>
    <w:p>
      <w:pPr>
        <w:keepNext w:val="0"/>
        <w:keepLines w:val="0"/>
        <w:pageBreakBefore w:val="0"/>
        <w:numPr>
          <w:ilvl w:val="0"/>
          <w:numId w:val="0"/>
        </w:numPr>
        <w:tabs>
          <w:tab w:val="left" w:pos="0"/>
        </w:tabs>
        <w:kinsoku/>
        <w:wordWrap/>
        <w:overflowPunct/>
        <w:topLinePunct w:val="0"/>
        <w:bidi w:val="0"/>
        <w:snapToGrid/>
        <w:spacing w:line="580" w:lineRule="exact"/>
        <w:ind w:firstLine="640" w:firstLineChars="200"/>
        <w:textAlignment w:val="auto"/>
        <w:rPr>
          <w:rFonts w:hint="eastAsia" w:ascii="仿宋_GB2312" w:eastAsia="仿宋_GB2312"/>
          <w:sz w:val="32"/>
          <w:szCs w:val="32"/>
          <w:u w:val="none" w:color="auto"/>
        </w:rPr>
      </w:pPr>
      <w:r>
        <w:rPr>
          <w:rFonts w:hint="eastAsia" w:ascii="仿宋_GB2312" w:eastAsia="仿宋_GB2312"/>
          <w:sz w:val="32"/>
          <w:szCs w:val="32"/>
          <w:u w:val="none" w:color="auto"/>
        </w:rPr>
        <w:t>（三）已超过使用年限且无法满足现有工作需要的；</w:t>
      </w:r>
    </w:p>
    <w:p>
      <w:pPr>
        <w:keepNext w:val="0"/>
        <w:keepLines w:val="0"/>
        <w:pageBreakBefore w:val="0"/>
        <w:numPr>
          <w:ilvl w:val="0"/>
          <w:numId w:val="0"/>
        </w:numPr>
        <w:tabs>
          <w:tab w:val="left" w:pos="0"/>
        </w:tabs>
        <w:kinsoku/>
        <w:wordWrap/>
        <w:overflowPunct/>
        <w:topLinePunct w:val="0"/>
        <w:bidi w:val="0"/>
        <w:snapToGrid/>
        <w:spacing w:line="580" w:lineRule="exact"/>
        <w:ind w:firstLine="640" w:firstLineChars="200"/>
        <w:textAlignment w:val="auto"/>
        <w:rPr>
          <w:rFonts w:hint="eastAsia" w:ascii="仿宋_GB2312" w:eastAsia="仿宋_GB2312"/>
          <w:sz w:val="32"/>
          <w:szCs w:val="32"/>
          <w:u w:val="none" w:color="auto"/>
        </w:rPr>
      </w:pPr>
      <w:r>
        <w:rPr>
          <w:rFonts w:hint="eastAsia" w:ascii="仿宋_GB2312" w:eastAsia="仿宋_GB2312"/>
          <w:sz w:val="32"/>
          <w:szCs w:val="32"/>
          <w:u w:val="none" w:color="auto"/>
        </w:rPr>
        <w:t>（四）因自然灾害等不可抗力造成毁损、灭失的；</w:t>
      </w:r>
    </w:p>
    <w:p>
      <w:pPr>
        <w:keepNext w:val="0"/>
        <w:keepLines w:val="0"/>
        <w:pageBreakBefore w:val="0"/>
        <w:numPr>
          <w:ilvl w:val="0"/>
          <w:numId w:val="0"/>
        </w:numPr>
        <w:tabs>
          <w:tab w:val="left" w:pos="0"/>
        </w:tabs>
        <w:kinsoku/>
        <w:wordWrap/>
        <w:overflowPunct/>
        <w:topLinePunct w:val="0"/>
        <w:bidi w:val="0"/>
        <w:snapToGrid/>
        <w:spacing w:line="580" w:lineRule="exact"/>
        <w:ind w:firstLine="640" w:firstLineChars="200"/>
        <w:textAlignment w:val="auto"/>
        <w:rPr>
          <w:rFonts w:hint="eastAsia" w:ascii="仿宋_GB2312" w:eastAsia="仿宋_GB2312"/>
          <w:sz w:val="32"/>
          <w:szCs w:val="32"/>
          <w:u w:val="none" w:color="auto"/>
        </w:rPr>
      </w:pPr>
      <w:r>
        <w:rPr>
          <w:rFonts w:hint="eastAsia" w:ascii="仿宋_GB2312" w:eastAsia="仿宋_GB2312"/>
          <w:sz w:val="32"/>
          <w:szCs w:val="32"/>
          <w:u w:val="none" w:color="auto"/>
        </w:rPr>
        <w:t>（五）因单位分立、合并、改制、撤销、隶属关系改变或者部分职能、业务调整等而移交的；</w:t>
      </w:r>
    </w:p>
    <w:p>
      <w:pPr>
        <w:keepNext w:val="0"/>
        <w:keepLines w:val="0"/>
        <w:pageBreakBefore w:val="0"/>
        <w:numPr>
          <w:ilvl w:val="0"/>
          <w:numId w:val="0"/>
        </w:numPr>
        <w:tabs>
          <w:tab w:val="left" w:pos="0"/>
        </w:tabs>
        <w:kinsoku/>
        <w:wordWrap/>
        <w:overflowPunct/>
        <w:topLinePunct w:val="0"/>
        <w:bidi w:val="0"/>
        <w:snapToGrid/>
        <w:spacing w:line="580" w:lineRule="exact"/>
        <w:ind w:firstLine="640" w:firstLineChars="200"/>
        <w:textAlignment w:val="auto"/>
        <w:rPr>
          <w:rFonts w:hint="eastAsia" w:ascii="仿宋_GB2312" w:eastAsia="仿宋_GB2312"/>
          <w:sz w:val="32"/>
          <w:szCs w:val="32"/>
          <w:u w:val="none" w:color="auto"/>
        </w:rPr>
      </w:pPr>
      <w:r>
        <w:rPr>
          <w:rFonts w:hint="eastAsia" w:ascii="仿宋_GB2312" w:eastAsia="仿宋_GB2312"/>
          <w:sz w:val="32"/>
          <w:szCs w:val="32"/>
          <w:u w:val="none" w:color="auto"/>
        </w:rPr>
        <w:t>（六）发生产权变动的；</w:t>
      </w:r>
    </w:p>
    <w:p>
      <w:pPr>
        <w:keepNext w:val="0"/>
        <w:keepLines w:val="0"/>
        <w:pageBreakBefore w:val="0"/>
        <w:numPr>
          <w:ilvl w:val="0"/>
          <w:numId w:val="0"/>
        </w:numPr>
        <w:tabs>
          <w:tab w:val="left" w:pos="0"/>
        </w:tabs>
        <w:kinsoku/>
        <w:wordWrap/>
        <w:overflowPunct/>
        <w:topLinePunct w:val="0"/>
        <w:bidi w:val="0"/>
        <w:snapToGrid/>
        <w:spacing w:line="580" w:lineRule="exact"/>
        <w:ind w:firstLine="640" w:firstLineChars="200"/>
        <w:textAlignment w:val="auto"/>
        <w:rPr>
          <w:rFonts w:hint="eastAsia" w:ascii="仿宋_GB2312" w:eastAsia="仿宋_GB2312"/>
          <w:sz w:val="32"/>
          <w:szCs w:val="32"/>
          <w:u w:val="none" w:color="auto"/>
          <w:lang w:eastAsia="zh-CN"/>
        </w:rPr>
      </w:pPr>
      <w:r>
        <w:rPr>
          <w:rFonts w:hint="eastAsia" w:ascii="仿宋_GB2312" w:eastAsia="仿宋_GB2312"/>
          <w:sz w:val="32"/>
          <w:szCs w:val="32"/>
          <w:u w:val="none" w:color="auto"/>
        </w:rPr>
        <w:t>（七）依照有关规定需要处置的其他情形。</w:t>
      </w:r>
    </w:p>
    <w:p>
      <w:pPr>
        <w:keepNext w:val="0"/>
        <w:keepLines w:val="0"/>
        <w:pageBreakBefore w:val="0"/>
        <w:numPr>
          <w:ilvl w:val="0"/>
          <w:numId w:val="0"/>
        </w:numPr>
        <w:tabs>
          <w:tab w:val="left" w:pos="0"/>
        </w:tabs>
        <w:kinsoku/>
        <w:wordWrap/>
        <w:overflowPunct/>
        <w:topLinePunct w:val="0"/>
        <w:bidi w:val="0"/>
        <w:snapToGrid/>
        <w:spacing w:line="580" w:lineRule="exact"/>
        <w:ind w:left="-10" w:leftChars="0" w:firstLine="640" w:firstLineChars="0"/>
        <w:textAlignment w:val="auto"/>
        <w:rPr>
          <w:rFonts w:hint="eastAsia" w:ascii="仿宋_GB2312" w:eastAsia="仿宋_GB2312"/>
          <w:sz w:val="32"/>
          <w:szCs w:val="32"/>
          <w:u w:val="none" w:color="auto"/>
        </w:rPr>
      </w:pPr>
      <w:r>
        <w:rPr>
          <w:rFonts w:hint="eastAsia" w:ascii="仿宋_GB2312" w:eastAsia="仿宋_GB2312"/>
          <w:b/>
          <w:bCs/>
          <w:sz w:val="32"/>
          <w:szCs w:val="32"/>
          <w:u w:val="none" w:color="auto"/>
          <w:lang w:val="en-US" w:eastAsia="zh-CN"/>
        </w:rPr>
        <w:t>第三十九条</w:t>
      </w:r>
      <w:r>
        <w:rPr>
          <w:rFonts w:hint="eastAsia" w:ascii="仿宋" w:hAnsi="仿宋" w:eastAsia="仿宋" w:cs="仿宋"/>
          <w:b/>
          <w:kern w:val="2"/>
          <w:sz w:val="32"/>
          <w:szCs w:val="32"/>
          <w:u w:val="none" w:color="auto"/>
          <w:lang w:val="en-US" w:eastAsia="zh-CN" w:bidi="ar-SA"/>
        </w:rPr>
        <w:t xml:space="preserve"> </w:t>
      </w:r>
      <w:r>
        <w:rPr>
          <w:rFonts w:hint="eastAsia" w:ascii="仿宋_GB2312" w:eastAsia="仿宋_GB2312"/>
          <w:sz w:val="32"/>
          <w:szCs w:val="32"/>
          <w:u w:val="none" w:color="auto"/>
        </w:rPr>
        <w:t>学</w:t>
      </w:r>
      <w:r>
        <w:rPr>
          <w:rFonts w:hint="eastAsia" w:ascii="仿宋_GB2312" w:eastAsia="仿宋_GB2312"/>
          <w:sz w:val="32"/>
          <w:szCs w:val="32"/>
          <w:u w:val="none" w:color="auto"/>
          <w:lang w:eastAsia="zh-CN"/>
        </w:rPr>
        <w:t>院</w:t>
      </w:r>
      <w:r>
        <w:rPr>
          <w:rFonts w:hint="eastAsia" w:ascii="仿宋_GB2312" w:eastAsia="仿宋_GB2312"/>
          <w:sz w:val="32"/>
          <w:szCs w:val="32"/>
          <w:u w:val="none" w:color="auto"/>
        </w:rPr>
        <w:t>国有资产处置根据《江西省省级事业单位国有资产处置</w:t>
      </w:r>
      <w:r>
        <w:rPr>
          <w:rFonts w:hint="eastAsia" w:ascii="仿宋_GB2312" w:eastAsia="仿宋_GB2312"/>
          <w:sz w:val="32"/>
          <w:szCs w:val="32"/>
          <w:u w:val="none" w:color="auto"/>
          <w:lang w:eastAsia="zh-CN"/>
        </w:rPr>
        <w:t>管理</w:t>
      </w:r>
      <w:r>
        <w:rPr>
          <w:rFonts w:hint="eastAsia" w:ascii="仿宋_GB2312" w:eastAsia="仿宋_GB2312"/>
          <w:sz w:val="32"/>
          <w:szCs w:val="32"/>
          <w:u w:val="none" w:color="auto"/>
        </w:rPr>
        <w:t>办法》(赣财资〔20</w:t>
      </w:r>
      <w:r>
        <w:rPr>
          <w:rFonts w:hint="eastAsia" w:ascii="仿宋_GB2312" w:eastAsia="仿宋_GB2312"/>
          <w:sz w:val="32"/>
          <w:szCs w:val="32"/>
          <w:u w:val="none" w:color="auto"/>
          <w:lang w:val="en-US" w:eastAsia="zh-CN"/>
        </w:rPr>
        <w:t>23</w:t>
      </w:r>
      <w:r>
        <w:rPr>
          <w:rFonts w:hint="eastAsia" w:ascii="仿宋_GB2312" w:eastAsia="仿宋_GB2312"/>
          <w:sz w:val="32"/>
          <w:szCs w:val="32"/>
          <w:u w:val="none" w:color="auto"/>
        </w:rPr>
        <w:t>〕</w:t>
      </w:r>
      <w:r>
        <w:rPr>
          <w:rFonts w:hint="eastAsia" w:ascii="仿宋_GB2312" w:eastAsia="仿宋_GB2312"/>
          <w:sz w:val="32"/>
          <w:szCs w:val="32"/>
          <w:u w:val="none" w:color="auto"/>
          <w:lang w:val="en-US" w:eastAsia="zh-CN"/>
        </w:rPr>
        <w:t>27</w:t>
      </w:r>
      <w:r>
        <w:rPr>
          <w:rFonts w:hint="eastAsia" w:ascii="仿宋_GB2312" w:eastAsia="仿宋_GB2312"/>
          <w:sz w:val="32"/>
          <w:szCs w:val="32"/>
          <w:u w:val="none" w:color="auto"/>
        </w:rPr>
        <w:t>号)有关规定，并按以下权限予以审批：</w:t>
      </w:r>
    </w:p>
    <w:p>
      <w:pPr>
        <w:keepNext w:val="0"/>
        <w:keepLines w:val="0"/>
        <w:pageBreakBefore w:val="0"/>
        <w:numPr>
          <w:ilvl w:val="0"/>
          <w:numId w:val="1"/>
        </w:numPr>
        <w:tabs>
          <w:tab w:val="left" w:pos="0"/>
        </w:tabs>
        <w:kinsoku/>
        <w:wordWrap/>
        <w:overflowPunct/>
        <w:topLinePunct w:val="0"/>
        <w:bidi w:val="0"/>
        <w:snapToGrid/>
        <w:spacing w:line="580" w:lineRule="exact"/>
        <w:ind w:firstLine="640" w:firstLineChars="200"/>
        <w:textAlignment w:val="auto"/>
        <w:rPr>
          <w:rFonts w:hint="eastAsia" w:ascii="仿宋_GB2312" w:eastAsia="仿宋_GB2312"/>
          <w:sz w:val="32"/>
          <w:szCs w:val="32"/>
          <w:u w:val="none" w:color="auto"/>
        </w:rPr>
      </w:pPr>
      <w:r>
        <w:rPr>
          <w:rFonts w:hint="eastAsia" w:ascii="仿宋_GB2312" w:eastAsia="仿宋_GB2312"/>
          <w:sz w:val="32"/>
          <w:szCs w:val="32"/>
          <w:u w:val="none" w:color="auto"/>
        </w:rPr>
        <w:t>学</w:t>
      </w:r>
      <w:r>
        <w:rPr>
          <w:rFonts w:hint="eastAsia" w:ascii="仿宋_GB2312" w:eastAsia="仿宋_GB2312"/>
          <w:sz w:val="32"/>
          <w:szCs w:val="32"/>
          <w:u w:val="none" w:color="auto"/>
          <w:lang w:eastAsia="zh-CN"/>
        </w:rPr>
        <w:t>院</w:t>
      </w:r>
      <w:r>
        <w:rPr>
          <w:rFonts w:hint="eastAsia" w:ascii="仿宋_GB2312" w:eastAsia="仿宋_GB2312"/>
          <w:sz w:val="32"/>
          <w:szCs w:val="32"/>
          <w:u w:val="none" w:color="auto"/>
        </w:rPr>
        <w:t>处置</w:t>
      </w:r>
      <w:r>
        <w:rPr>
          <w:rFonts w:hint="eastAsia" w:ascii="仿宋_GB2312" w:eastAsia="仿宋_GB2312"/>
          <w:sz w:val="32"/>
          <w:szCs w:val="32"/>
          <w:u w:val="none" w:color="auto"/>
          <w:lang w:eastAsia="zh-CN"/>
        </w:rPr>
        <w:t>土地使用权、房屋，以及单项价值（账面原值，下同）</w:t>
      </w:r>
      <w:r>
        <w:rPr>
          <w:rFonts w:hint="eastAsia" w:ascii="仿宋_GB2312" w:eastAsia="仿宋_GB2312"/>
          <w:sz w:val="32"/>
          <w:szCs w:val="32"/>
          <w:u w:val="none" w:color="auto"/>
          <w:lang w:val="en-US" w:eastAsia="zh-CN"/>
        </w:rPr>
        <w:t>300万元及以上或批量价值在800万元及以上的其他国有资产，</w:t>
      </w:r>
      <w:r>
        <w:rPr>
          <w:rFonts w:hint="eastAsia" w:ascii="仿宋_GB2312" w:eastAsia="仿宋_GB2312"/>
          <w:sz w:val="32"/>
          <w:szCs w:val="32"/>
          <w:u w:val="none" w:color="auto"/>
        </w:rPr>
        <w:t>由学</w:t>
      </w:r>
      <w:r>
        <w:rPr>
          <w:rFonts w:hint="eastAsia" w:ascii="仿宋_GB2312" w:eastAsia="仿宋_GB2312"/>
          <w:sz w:val="32"/>
          <w:szCs w:val="32"/>
          <w:u w:val="none" w:color="auto"/>
          <w:lang w:eastAsia="zh-CN"/>
        </w:rPr>
        <w:t>院研究同意报</w:t>
      </w:r>
      <w:r>
        <w:rPr>
          <w:rFonts w:hint="eastAsia" w:ascii="仿宋_GB2312" w:eastAsia="仿宋_GB2312"/>
          <w:sz w:val="32"/>
          <w:szCs w:val="32"/>
          <w:u w:val="none" w:color="auto"/>
        </w:rPr>
        <w:t>经主管部门审核后</w:t>
      </w:r>
      <w:r>
        <w:rPr>
          <w:rFonts w:hint="eastAsia" w:ascii="仿宋_GB2312" w:eastAsia="仿宋_GB2312"/>
          <w:sz w:val="32"/>
          <w:szCs w:val="32"/>
          <w:u w:val="none" w:color="auto"/>
          <w:lang w:eastAsia="zh-CN"/>
        </w:rPr>
        <w:t>，</w:t>
      </w:r>
      <w:r>
        <w:rPr>
          <w:rFonts w:hint="eastAsia" w:ascii="仿宋_GB2312" w:eastAsia="仿宋_GB2312"/>
          <w:sz w:val="32"/>
          <w:szCs w:val="32"/>
          <w:u w:val="none" w:color="auto"/>
        </w:rPr>
        <w:t>报省财政厅审批。</w:t>
      </w:r>
    </w:p>
    <w:p>
      <w:pPr>
        <w:keepNext w:val="0"/>
        <w:keepLines w:val="0"/>
        <w:pageBreakBefore w:val="0"/>
        <w:numPr>
          <w:ilvl w:val="0"/>
          <w:numId w:val="0"/>
        </w:numPr>
        <w:tabs>
          <w:tab w:val="left" w:pos="0"/>
        </w:tabs>
        <w:kinsoku/>
        <w:wordWrap/>
        <w:overflowPunct/>
        <w:topLinePunct w:val="0"/>
        <w:bidi w:val="0"/>
        <w:snapToGrid/>
        <w:spacing w:line="580" w:lineRule="exact"/>
        <w:textAlignment w:val="auto"/>
        <w:rPr>
          <w:rFonts w:hint="default" w:ascii="仿宋_GB2312" w:eastAsia="仿宋_GB2312"/>
          <w:sz w:val="32"/>
          <w:szCs w:val="32"/>
          <w:u w:val="none" w:color="auto"/>
          <w:lang w:val="en-US" w:eastAsia="zh-CN"/>
        </w:rPr>
      </w:pPr>
      <w:r>
        <w:rPr>
          <w:rFonts w:hint="default" w:ascii="仿宋_GB2312" w:eastAsia="仿宋_GB2312"/>
          <w:sz w:val="32"/>
          <w:szCs w:val="32"/>
          <w:u w:val="none" w:color="auto"/>
          <w:lang w:val="en-US"/>
        </w:rPr>
        <w:t xml:space="preserve">    </w:t>
      </w:r>
      <w:r>
        <w:rPr>
          <w:rFonts w:hint="eastAsia" w:ascii="仿宋_GB2312" w:eastAsia="仿宋_GB2312"/>
          <w:sz w:val="32"/>
          <w:szCs w:val="32"/>
          <w:u w:val="none" w:color="auto"/>
          <w:lang w:val="en-US" w:eastAsia="zh-CN"/>
        </w:rPr>
        <w:t>学院转让评估价值超过5000万元的房屋、土地使用权等重大行政事业单位国有资产处置事项，由省财政厅提出审核意见，由省政府审批。</w:t>
      </w:r>
    </w:p>
    <w:p>
      <w:pPr>
        <w:keepNext w:val="0"/>
        <w:keepLines w:val="0"/>
        <w:pageBreakBefore w:val="0"/>
        <w:numPr>
          <w:ilvl w:val="0"/>
          <w:numId w:val="1"/>
        </w:numPr>
        <w:tabs>
          <w:tab w:val="left" w:pos="0"/>
        </w:tabs>
        <w:kinsoku/>
        <w:wordWrap/>
        <w:overflowPunct/>
        <w:topLinePunct w:val="0"/>
        <w:bidi w:val="0"/>
        <w:snapToGrid/>
        <w:spacing w:line="580" w:lineRule="exact"/>
        <w:ind w:left="0" w:leftChars="0" w:firstLine="640" w:firstLineChars="200"/>
        <w:textAlignment w:val="auto"/>
        <w:rPr>
          <w:rFonts w:hint="default" w:ascii="仿宋_GB2312" w:eastAsia="仿宋_GB2312"/>
          <w:sz w:val="32"/>
          <w:szCs w:val="32"/>
          <w:u w:val="none" w:color="auto"/>
          <w:lang w:val="en-US" w:eastAsia="zh-CN"/>
        </w:rPr>
      </w:pPr>
      <w:r>
        <w:rPr>
          <w:rFonts w:hint="eastAsia" w:ascii="仿宋_GB2312" w:eastAsia="仿宋_GB2312"/>
          <w:sz w:val="32"/>
          <w:szCs w:val="32"/>
          <w:u w:val="none" w:color="auto"/>
          <w:lang w:eastAsia="zh-CN"/>
        </w:rPr>
        <w:t>学院处置除土地使用权、房屋、公务用车以外的其他单项价值</w:t>
      </w:r>
      <w:r>
        <w:rPr>
          <w:rFonts w:hint="eastAsia" w:ascii="仿宋_GB2312" w:eastAsia="仿宋_GB2312"/>
          <w:sz w:val="32"/>
          <w:szCs w:val="32"/>
          <w:u w:val="none" w:color="auto"/>
          <w:lang w:val="en-US" w:eastAsia="zh-CN"/>
        </w:rPr>
        <w:t>300万元以下或批量价值在800万元以下的国有资产，经学院研究同意后，报主管部门备案或审批。</w:t>
      </w:r>
    </w:p>
    <w:p>
      <w:pPr>
        <w:keepNext w:val="0"/>
        <w:keepLines w:val="0"/>
        <w:pageBreakBefore w:val="0"/>
        <w:numPr>
          <w:ilvl w:val="0"/>
          <w:numId w:val="0"/>
        </w:numPr>
        <w:tabs>
          <w:tab w:val="left" w:pos="0"/>
        </w:tabs>
        <w:kinsoku/>
        <w:wordWrap/>
        <w:overflowPunct/>
        <w:topLinePunct w:val="0"/>
        <w:bidi w:val="0"/>
        <w:snapToGrid/>
        <w:spacing w:line="580" w:lineRule="exact"/>
        <w:ind w:firstLine="640" w:firstLineChars="200"/>
        <w:textAlignment w:val="auto"/>
        <w:rPr>
          <w:rFonts w:hint="default" w:ascii="仿宋_GB2312" w:eastAsia="仿宋_GB2312"/>
          <w:sz w:val="32"/>
          <w:szCs w:val="32"/>
          <w:u w:val="none" w:color="auto"/>
          <w:lang w:val="en-US" w:eastAsia="zh-CN"/>
        </w:rPr>
      </w:pPr>
      <w:r>
        <w:rPr>
          <w:rFonts w:hint="eastAsia" w:ascii="仿宋_GB2312" w:eastAsia="仿宋_GB2312"/>
          <w:sz w:val="32"/>
          <w:szCs w:val="32"/>
          <w:u w:val="none" w:color="auto"/>
          <w:lang w:val="en-US" w:eastAsia="zh-CN"/>
        </w:rPr>
        <w:t>（三）学院处置公务用车由学院研究同意报主管部门审核后，报省机关事务管理局审批。</w:t>
      </w:r>
    </w:p>
    <w:p>
      <w:pPr>
        <w:keepNext w:val="0"/>
        <w:keepLines w:val="0"/>
        <w:pageBreakBefore w:val="0"/>
        <w:numPr>
          <w:ilvl w:val="0"/>
          <w:numId w:val="0"/>
        </w:numPr>
        <w:tabs>
          <w:tab w:val="left" w:pos="0"/>
        </w:tabs>
        <w:kinsoku/>
        <w:wordWrap/>
        <w:overflowPunct/>
        <w:topLinePunct w:val="0"/>
        <w:bidi w:val="0"/>
        <w:snapToGrid/>
        <w:spacing w:line="580" w:lineRule="exact"/>
        <w:ind w:left="-10" w:leftChars="0" w:firstLine="640" w:firstLineChars="0"/>
        <w:textAlignment w:val="auto"/>
        <w:rPr>
          <w:rFonts w:hint="eastAsia" w:ascii="仿宋_GB2312" w:eastAsia="仿宋_GB2312"/>
          <w:sz w:val="32"/>
          <w:szCs w:val="32"/>
          <w:u w:val="none" w:color="auto"/>
        </w:rPr>
      </w:pPr>
      <w:r>
        <w:rPr>
          <w:rFonts w:hint="eastAsia" w:ascii="仿宋_GB2312" w:eastAsia="仿宋_GB2312"/>
          <w:b/>
          <w:bCs/>
          <w:sz w:val="32"/>
          <w:szCs w:val="32"/>
          <w:u w:val="none" w:color="auto"/>
          <w:lang w:val="en-US" w:eastAsia="zh-CN"/>
        </w:rPr>
        <w:t>第四十条</w:t>
      </w:r>
      <w:r>
        <w:rPr>
          <w:rFonts w:hint="eastAsia" w:ascii="仿宋" w:hAnsi="仿宋" w:eastAsia="仿宋" w:cs="仿宋"/>
          <w:b/>
          <w:kern w:val="2"/>
          <w:sz w:val="32"/>
          <w:szCs w:val="32"/>
          <w:u w:val="none" w:color="auto"/>
          <w:lang w:val="en-US" w:eastAsia="zh-CN" w:bidi="ar-SA"/>
        </w:rPr>
        <w:t xml:space="preserve"> </w:t>
      </w:r>
      <w:r>
        <w:rPr>
          <w:rFonts w:hint="eastAsia" w:ascii="仿宋_GB2312" w:eastAsia="仿宋_GB2312"/>
          <w:sz w:val="32"/>
          <w:szCs w:val="32"/>
          <w:u w:val="none" w:color="auto"/>
        </w:rPr>
        <w:t>学</w:t>
      </w:r>
      <w:r>
        <w:rPr>
          <w:rFonts w:hint="eastAsia" w:ascii="仿宋_GB2312" w:eastAsia="仿宋_GB2312"/>
          <w:sz w:val="32"/>
          <w:szCs w:val="32"/>
          <w:u w:val="none" w:color="auto"/>
          <w:lang w:eastAsia="zh-CN"/>
        </w:rPr>
        <w:t>院国</w:t>
      </w:r>
      <w:r>
        <w:rPr>
          <w:rFonts w:hint="eastAsia" w:ascii="仿宋_GB2312" w:eastAsia="仿宋_GB2312"/>
          <w:sz w:val="32"/>
          <w:szCs w:val="32"/>
          <w:u w:val="none" w:color="auto"/>
        </w:rPr>
        <w:t>有资产由国有资产管理工作领导小组</w:t>
      </w:r>
      <w:r>
        <w:rPr>
          <w:rFonts w:hint="eastAsia" w:ascii="仿宋_GB2312" w:eastAsia="仿宋_GB2312"/>
          <w:sz w:val="32"/>
          <w:szCs w:val="32"/>
          <w:u w:val="none" w:color="auto"/>
          <w:lang w:eastAsia="zh-CN"/>
        </w:rPr>
        <w:t>办公室</w:t>
      </w:r>
      <w:r>
        <w:rPr>
          <w:rFonts w:hint="eastAsia" w:ascii="仿宋_GB2312" w:eastAsia="仿宋_GB2312"/>
          <w:sz w:val="32"/>
          <w:szCs w:val="32"/>
          <w:u w:val="none" w:color="auto"/>
        </w:rPr>
        <w:t>严格按照相关审批程序处置。未经批准，各</w:t>
      </w:r>
      <w:r>
        <w:rPr>
          <w:rFonts w:hint="eastAsia" w:ascii="仿宋_GB2312" w:eastAsia="仿宋_GB2312"/>
          <w:sz w:val="32"/>
          <w:szCs w:val="32"/>
          <w:u w:val="none" w:color="auto"/>
          <w:lang w:eastAsia="zh-CN"/>
        </w:rPr>
        <w:t>部门</w:t>
      </w:r>
      <w:r>
        <w:rPr>
          <w:rFonts w:hint="eastAsia" w:ascii="仿宋_GB2312" w:eastAsia="仿宋_GB2312"/>
          <w:sz w:val="32"/>
          <w:szCs w:val="32"/>
          <w:u w:val="none" w:color="auto"/>
        </w:rPr>
        <w:t>和个人不得擅自处置学</w:t>
      </w:r>
      <w:r>
        <w:rPr>
          <w:rFonts w:hint="eastAsia" w:ascii="仿宋_GB2312" w:eastAsia="仿宋_GB2312"/>
          <w:sz w:val="32"/>
          <w:szCs w:val="32"/>
          <w:u w:val="none" w:color="auto"/>
          <w:lang w:eastAsia="zh-CN"/>
        </w:rPr>
        <w:t>院</w:t>
      </w:r>
      <w:r>
        <w:rPr>
          <w:rFonts w:hint="eastAsia" w:ascii="仿宋_GB2312" w:eastAsia="仿宋_GB2312"/>
          <w:sz w:val="32"/>
          <w:szCs w:val="32"/>
          <w:u w:val="none" w:color="auto"/>
        </w:rPr>
        <w:t>国有资产。</w:t>
      </w:r>
      <w:r>
        <w:rPr>
          <w:rFonts w:hint="eastAsia" w:ascii="仿宋_GB2312" w:eastAsia="仿宋_GB2312"/>
          <w:sz w:val="32"/>
          <w:szCs w:val="32"/>
          <w:u w:val="none" w:color="auto"/>
          <w:lang w:eastAsia="zh-CN"/>
        </w:rPr>
        <w:t>资产处置</w:t>
      </w:r>
      <w:r>
        <w:rPr>
          <w:rFonts w:hint="eastAsia" w:ascii="仿宋_GB2312" w:eastAsia="仿宋_GB2312"/>
          <w:sz w:val="32"/>
          <w:szCs w:val="32"/>
          <w:u w:val="none" w:color="auto"/>
        </w:rPr>
        <w:t>按以下程序办理：</w:t>
      </w:r>
    </w:p>
    <w:p>
      <w:pPr>
        <w:keepNext w:val="0"/>
        <w:keepLines w:val="0"/>
        <w:pageBreakBefore w:val="0"/>
        <w:numPr>
          <w:ilvl w:val="0"/>
          <w:numId w:val="0"/>
        </w:numPr>
        <w:tabs>
          <w:tab w:val="left" w:pos="0"/>
          <w:tab w:val="left" w:pos="6720"/>
        </w:tabs>
        <w:kinsoku/>
        <w:wordWrap/>
        <w:overflowPunct/>
        <w:topLinePunct w:val="0"/>
        <w:bidi w:val="0"/>
        <w:snapToGrid/>
        <w:spacing w:line="580" w:lineRule="exact"/>
        <w:ind w:firstLine="640" w:firstLineChars="200"/>
        <w:textAlignment w:val="auto"/>
        <w:rPr>
          <w:rFonts w:hint="eastAsia" w:ascii="仿宋_GB2312" w:eastAsia="仿宋_GB2312"/>
          <w:sz w:val="32"/>
          <w:szCs w:val="32"/>
          <w:highlight w:val="none"/>
          <w:u w:val="none" w:color="auto"/>
        </w:rPr>
      </w:pPr>
      <w:r>
        <w:rPr>
          <w:rFonts w:hint="eastAsia" w:ascii="仿宋_GB2312" w:eastAsia="仿宋_GB2312"/>
          <w:sz w:val="32"/>
          <w:szCs w:val="32"/>
          <w:highlight w:val="none"/>
          <w:u w:val="none" w:color="auto"/>
          <w:lang w:eastAsia="zh-CN"/>
        </w:rPr>
        <w:t>（</w:t>
      </w:r>
      <w:r>
        <w:rPr>
          <w:rFonts w:hint="eastAsia" w:ascii="仿宋_GB2312" w:eastAsia="仿宋_GB2312"/>
          <w:sz w:val="32"/>
          <w:szCs w:val="32"/>
          <w:highlight w:val="none"/>
          <w:u w:val="none" w:color="auto"/>
        </w:rPr>
        <w:t>一</w:t>
      </w:r>
      <w:r>
        <w:rPr>
          <w:rFonts w:hint="eastAsia" w:ascii="仿宋_GB2312" w:eastAsia="仿宋_GB2312"/>
          <w:sz w:val="32"/>
          <w:szCs w:val="32"/>
          <w:highlight w:val="none"/>
          <w:u w:val="none" w:color="auto"/>
          <w:lang w:eastAsia="zh-CN"/>
        </w:rPr>
        <w:t>）资产使用</w:t>
      </w:r>
      <w:r>
        <w:rPr>
          <w:rFonts w:hint="eastAsia" w:ascii="仿宋_GB2312" w:eastAsia="仿宋_GB2312"/>
          <w:sz w:val="32"/>
          <w:szCs w:val="32"/>
          <w:highlight w:val="none"/>
          <w:u w:val="none" w:color="auto"/>
        </w:rPr>
        <w:t>部门申报。</w:t>
      </w:r>
      <w:r>
        <w:rPr>
          <w:rFonts w:hint="eastAsia" w:ascii="仿宋_GB2312" w:eastAsia="仿宋_GB2312"/>
          <w:sz w:val="32"/>
          <w:szCs w:val="32"/>
          <w:highlight w:val="none"/>
          <w:u w:val="none" w:color="auto"/>
          <w:lang w:eastAsia="zh-CN"/>
        </w:rPr>
        <w:t>资产使用人</w:t>
      </w:r>
      <w:r>
        <w:rPr>
          <w:rFonts w:hint="eastAsia" w:ascii="仿宋_GB2312" w:eastAsia="仿宋_GB2312"/>
          <w:sz w:val="32"/>
          <w:szCs w:val="32"/>
          <w:highlight w:val="none"/>
          <w:u w:val="none" w:color="auto"/>
        </w:rPr>
        <w:t>将拟处置的资产根据其实际状态在资产管理系统提出申请，报</w:t>
      </w:r>
      <w:r>
        <w:rPr>
          <w:rFonts w:hint="eastAsia" w:ascii="仿宋_GB2312" w:eastAsia="仿宋_GB2312"/>
          <w:sz w:val="32"/>
          <w:szCs w:val="32"/>
          <w:highlight w:val="none"/>
          <w:u w:val="none" w:color="auto"/>
          <w:lang w:eastAsia="zh-CN"/>
        </w:rPr>
        <w:t>部门</w:t>
      </w:r>
      <w:r>
        <w:rPr>
          <w:rFonts w:hint="eastAsia" w:ascii="仿宋_GB2312" w:eastAsia="仿宋_GB2312"/>
          <w:sz w:val="32"/>
          <w:szCs w:val="32"/>
          <w:highlight w:val="none"/>
          <w:u w:val="none" w:color="auto"/>
        </w:rPr>
        <w:t>资产管理员和负责人审核。</w:t>
      </w:r>
    </w:p>
    <w:p>
      <w:pPr>
        <w:keepNext w:val="0"/>
        <w:keepLines w:val="0"/>
        <w:pageBreakBefore w:val="0"/>
        <w:numPr>
          <w:ilvl w:val="0"/>
          <w:numId w:val="0"/>
        </w:numPr>
        <w:tabs>
          <w:tab w:val="left" w:pos="0"/>
        </w:tabs>
        <w:kinsoku/>
        <w:wordWrap/>
        <w:overflowPunct/>
        <w:topLinePunct w:val="0"/>
        <w:bidi w:val="0"/>
        <w:snapToGrid/>
        <w:spacing w:line="580" w:lineRule="exact"/>
        <w:ind w:firstLine="640" w:firstLineChars="200"/>
        <w:textAlignment w:val="auto"/>
        <w:rPr>
          <w:rFonts w:hint="eastAsia" w:ascii="仿宋_GB2312" w:eastAsia="仿宋_GB2312"/>
          <w:sz w:val="32"/>
          <w:szCs w:val="32"/>
          <w:highlight w:val="none"/>
          <w:u w:val="none" w:color="auto"/>
        </w:rPr>
      </w:pPr>
      <w:r>
        <w:rPr>
          <w:rFonts w:hint="eastAsia" w:ascii="仿宋_GB2312" w:eastAsia="仿宋_GB2312"/>
          <w:sz w:val="32"/>
          <w:szCs w:val="32"/>
          <w:highlight w:val="none"/>
          <w:u w:val="none" w:color="auto"/>
          <w:lang w:eastAsia="zh-CN"/>
        </w:rPr>
        <w:t>（二）学院资产系统公示。</w:t>
      </w:r>
      <w:r>
        <w:rPr>
          <w:rFonts w:hint="eastAsia" w:ascii="仿宋_GB2312" w:eastAsia="仿宋_GB2312"/>
          <w:sz w:val="32"/>
          <w:szCs w:val="32"/>
          <w:highlight w:val="none"/>
          <w:u w:val="none" w:color="auto"/>
        </w:rPr>
        <w:t>经</w:t>
      </w:r>
      <w:r>
        <w:rPr>
          <w:rFonts w:hint="eastAsia" w:ascii="仿宋_GB2312" w:eastAsia="仿宋_GB2312"/>
          <w:sz w:val="32"/>
          <w:szCs w:val="32"/>
          <w:highlight w:val="none"/>
          <w:u w:val="none" w:color="auto"/>
          <w:lang w:eastAsia="zh-CN"/>
        </w:rPr>
        <w:t>部门</w:t>
      </w:r>
      <w:r>
        <w:rPr>
          <w:rFonts w:hint="eastAsia" w:ascii="仿宋_GB2312" w:eastAsia="仿宋_GB2312"/>
          <w:sz w:val="32"/>
          <w:szCs w:val="32"/>
          <w:highlight w:val="none"/>
          <w:u w:val="none" w:color="auto"/>
        </w:rPr>
        <w:t>审核后的拟处置资产，将自动划转到系统调剂平台公示</w:t>
      </w:r>
      <w:r>
        <w:rPr>
          <w:rFonts w:hint="eastAsia" w:ascii="仿宋_GB2312" w:eastAsia="仿宋_GB2312"/>
          <w:sz w:val="32"/>
          <w:szCs w:val="32"/>
          <w:highlight w:val="none"/>
          <w:u w:val="none" w:color="auto"/>
          <w:lang w:val="en-US" w:eastAsia="zh-CN"/>
        </w:rPr>
        <w:t>7</w:t>
      </w:r>
      <w:r>
        <w:rPr>
          <w:rFonts w:hint="eastAsia" w:ascii="仿宋_GB2312" w:eastAsia="仿宋_GB2312"/>
          <w:sz w:val="32"/>
          <w:szCs w:val="32"/>
          <w:highlight w:val="none"/>
          <w:u w:val="none" w:color="auto"/>
        </w:rPr>
        <w:t>天。对于申报时选择</w:t>
      </w:r>
      <w:r>
        <w:rPr>
          <w:rFonts w:hint="eastAsia" w:ascii="仿宋_GB2312" w:eastAsia="仿宋_GB2312"/>
          <w:color w:val="0000FF"/>
          <w:sz w:val="32"/>
          <w:szCs w:val="32"/>
          <w:highlight w:val="none"/>
          <w:u w:val="none" w:color="auto"/>
        </w:rPr>
        <w:t>“</w:t>
      </w:r>
      <w:r>
        <w:rPr>
          <w:rFonts w:hint="eastAsia" w:ascii="仿宋_GB2312" w:eastAsia="仿宋_GB2312"/>
          <w:color w:val="auto"/>
          <w:sz w:val="32"/>
          <w:szCs w:val="32"/>
          <w:highlight w:val="none"/>
          <w:u w:val="none" w:color="auto"/>
        </w:rPr>
        <w:t>损坏无法再用”或“批准无需公示”的资产，将直接进入处置审批流程。对于申报时选择“待</w:t>
      </w:r>
      <w:r>
        <w:rPr>
          <w:rFonts w:hint="eastAsia" w:ascii="仿宋_GB2312" w:eastAsia="仿宋_GB2312"/>
          <w:sz w:val="32"/>
          <w:szCs w:val="32"/>
          <w:highlight w:val="none"/>
          <w:u w:val="none" w:color="auto"/>
        </w:rPr>
        <w:t>处置”的可再使用的资产，公示期内，</w:t>
      </w:r>
      <w:r>
        <w:rPr>
          <w:rFonts w:hint="eastAsia" w:ascii="仿宋_GB2312" w:eastAsia="仿宋_GB2312"/>
          <w:sz w:val="32"/>
          <w:szCs w:val="32"/>
          <w:highlight w:val="none"/>
          <w:u w:val="none" w:color="auto"/>
          <w:lang w:eastAsia="zh-CN"/>
        </w:rPr>
        <w:t>如</w:t>
      </w:r>
      <w:r>
        <w:rPr>
          <w:rFonts w:hint="eastAsia" w:ascii="仿宋_GB2312" w:eastAsia="仿宋_GB2312"/>
          <w:sz w:val="32"/>
          <w:szCs w:val="32"/>
          <w:highlight w:val="none"/>
          <w:u w:val="none" w:color="auto"/>
        </w:rPr>
        <w:t>其他</w:t>
      </w:r>
      <w:r>
        <w:rPr>
          <w:rFonts w:hint="eastAsia" w:ascii="仿宋_GB2312" w:eastAsia="仿宋_GB2312"/>
          <w:sz w:val="32"/>
          <w:szCs w:val="32"/>
          <w:highlight w:val="none"/>
          <w:u w:val="none" w:color="auto"/>
          <w:lang w:eastAsia="zh-CN"/>
        </w:rPr>
        <w:t>部门在资产管理系统中</w:t>
      </w:r>
      <w:r>
        <w:rPr>
          <w:rFonts w:hint="eastAsia" w:ascii="仿宋_GB2312" w:eastAsia="仿宋_GB2312"/>
          <w:sz w:val="32"/>
          <w:szCs w:val="32"/>
          <w:highlight w:val="none"/>
          <w:u w:val="none" w:color="auto"/>
        </w:rPr>
        <w:t>接收确认、</w:t>
      </w:r>
      <w:r>
        <w:rPr>
          <w:rFonts w:hint="eastAsia" w:ascii="仿宋_GB2312" w:eastAsia="仿宋_GB2312"/>
          <w:sz w:val="32"/>
          <w:szCs w:val="32"/>
          <w:highlight w:val="none"/>
          <w:u w:val="none" w:color="auto"/>
          <w:lang w:eastAsia="zh-CN"/>
        </w:rPr>
        <w:t>经</w:t>
      </w:r>
      <w:r>
        <w:rPr>
          <w:rFonts w:hint="eastAsia" w:ascii="仿宋_GB2312" w:eastAsia="仿宋_GB2312"/>
          <w:sz w:val="32"/>
          <w:szCs w:val="32"/>
          <w:highlight w:val="none"/>
          <w:u w:val="none" w:color="auto"/>
        </w:rPr>
        <w:t>资产管理处审核后，申请</w:t>
      </w:r>
      <w:r>
        <w:rPr>
          <w:rFonts w:hint="eastAsia" w:ascii="仿宋_GB2312" w:eastAsia="仿宋_GB2312"/>
          <w:sz w:val="32"/>
          <w:szCs w:val="32"/>
          <w:highlight w:val="none"/>
          <w:u w:val="none" w:color="auto"/>
          <w:lang w:eastAsia="zh-CN"/>
        </w:rPr>
        <w:t>部门</w:t>
      </w:r>
      <w:r>
        <w:rPr>
          <w:rFonts w:hint="eastAsia" w:ascii="仿宋_GB2312" w:eastAsia="仿宋_GB2312"/>
          <w:sz w:val="32"/>
          <w:szCs w:val="32"/>
          <w:highlight w:val="none"/>
          <w:u w:val="none" w:color="auto"/>
        </w:rPr>
        <w:t>将审批后的单据打印盖章交资产管理处即完成资产转移手续；如公示期满后，仍无</w:t>
      </w:r>
      <w:r>
        <w:rPr>
          <w:rFonts w:hint="eastAsia" w:ascii="仿宋_GB2312" w:eastAsia="仿宋_GB2312"/>
          <w:sz w:val="32"/>
          <w:szCs w:val="32"/>
          <w:highlight w:val="none"/>
          <w:u w:val="none" w:color="auto"/>
          <w:lang w:eastAsia="zh-CN"/>
        </w:rPr>
        <w:t>部门</w:t>
      </w:r>
      <w:r>
        <w:rPr>
          <w:rFonts w:hint="eastAsia" w:ascii="仿宋_GB2312" w:eastAsia="仿宋_GB2312"/>
          <w:sz w:val="32"/>
          <w:szCs w:val="32"/>
          <w:highlight w:val="none"/>
          <w:u w:val="none" w:color="auto"/>
        </w:rPr>
        <w:t>接收的，可进入处置审批流程。</w:t>
      </w:r>
    </w:p>
    <w:p>
      <w:pPr>
        <w:keepNext w:val="0"/>
        <w:keepLines w:val="0"/>
        <w:pageBreakBefore w:val="0"/>
        <w:numPr>
          <w:ilvl w:val="0"/>
          <w:numId w:val="0"/>
        </w:numPr>
        <w:tabs>
          <w:tab w:val="left" w:pos="0"/>
        </w:tabs>
        <w:kinsoku/>
        <w:wordWrap/>
        <w:overflowPunct/>
        <w:topLinePunct w:val="0"/>
        <w:bidi w:val="0"/>
        <w:snapToGrid/>
        <w:spacing w:line="580" w:lineRule="exact"/>
        <w:ind w:firstLine="640" w:firstLineChars="200"/>
        <w:textAlignment w:val="auto"/>
        <w:rPr>
          <w:rFonts w:hint="eastAsia" w:ascii="仿宋_GB2312" w:eastAsia="仿宋_GB2312"/>
          <w:sz w:val="32"/>
          <w:szCs w:val="32"/>
          <w:highlight w:val="none"/>
          <w:u w:val="none" w:color="auto"/>
        </w:rPr>
      </w:pPr>
      <w:r>
        <w:rPr>
          <w:rFonts w:hint="eastAsia" w:ascii="仿宋_GB2312" w:eastAsia="仿宋_GB2312"/>
          <w:sz w:val="32"/>
          <w:szCs w:val="32"/>
          <w:highlight w:val="none"/>
          <w:u w:val="none" w:color="auto"/>
          <w:lang w:eastAsia="zh-CN"/>
        </w:rPr>
        <w:t>（三）学院分管领导审批。</w:t>
      </w:r>
      <w:r>
        <w:rPr>
          <w:rFonts w:hint="eastAsia" w:ascii="仿宋_GB2312" w:eastAsia="仿宋_GB2312"/>
          <w:sz w:val="32"/>
          <w:szCs w:val="32"/>
          <w:highlight w:val="none"/>
          <w:u w:val="none" w:color="auto"/>
          <w:lang w:eastAsia="zh-CN"/>
        </w:rPr>
        <w:t>拟处置的资产通过处置公示后，经</w:t>
      </w:r>
      <w:r>
        <w:rPr>
          <w:rFonts w:hint="eastAsia" w:ascii="仿宋_GB2312" w:eastAsia="仿宋_GB2312"/>
          <w:sz w:val="32"/>
          <w:szCs w:val="32"/>
          <w:highlight w:val="none"/>
          <w:u w:val="none" w:color="auto"/>
        </w:rPr>
        <w:t>资产管理处审核、</w:t>
      </w:r>
      <w:r>
        <w:rPr>
          <w:rFonts w:hint="eastAsia" w:ascii="仿宋_GB2312" w:eastAsia="仿宋_GB2312"/>
          <w:sz w:val="32"/>
          <w:szCs w:val="32"/>
          <w:highlight w:val="none"/>
          <w:u w:val="none" w:color="auto"/>
          <w:lang w:eastAsia="zh-CN"/>
        </w:rPr>
        <w:t>报分管</w:t>
      </w:r>
      <w:r>
        <w:rPr>
          <w:rFonts w:hint="eastAsia" w:ascii="仿宋_GB2312" w:eastAsia="仿宋_GB2312"/>
          <w:sz w:val="32"/>
          <w:szCs w:val="32"/>
          <w:highlight w:val="none"/>
          <w:u w:val="none" w:color="auto"/>
        </w:rPr>
        <w:t>申请</w:t>
      </w:r>
      <w:r>
        <w:rPr>
          <w:rFonts w:hint="eastAsia" w:ascii="仿宋_GB2312" w:eastAsia="仿宋_GB2312"/>
          <w:sz w:val="32"/>
          <w:szCs w:val="32"/>
          <w:highlight w:val="none"/>
          <w:u w:val="none" w:color="auto"/>
          <w:lang w:eastAsia="zh-CN"/>
        </w:rPr>
        <w:t>部门分</w:t>
      </w:r>
      <w:r>
        <w:rPr>
          <w:rFonts w:hint="eastAsia" w:ascii="仿宋_GB2312" w:eastAsia="仿宋_GB2312"/>
          <w:sz w:val="32"/>
          <w:szCs w:val="32"/>
          <w:highlight w:val="none"/>
          <w:u w:val="none" w:color="auto"/>
        </w:rPr>
        <w:t>管</w:t>
      </w:r>
      <w:r>
        <w:rPr>
          <w:rFonts w:hint="eastAsia" w:ascii="仿宋_GB2312" w:eastAsia="仿宋_GB2312"/>
          <w:sz w:val="32"/>
          <w:szCs w:val="32"/>
          <w:highlight w:val="none"/>
          <w:u w:val="none" w:color="auto"/>
          <w:lang w:eastAsia="zh-CN"/>
        </w:rPr>
        <w:t>院</w:t>
      </w:r>
      <w:r>
        <w:rPr>
          <w:rFonts w:hint="eastAsia" w:ascii="仿宋_GB2312" w:eastAsia="仿宋_GB2312"/>
          <w:sz w:val="32"/>
          <w:szCs w:val="32"/>
          <w:highlight w:val="none"/>
          <w:u w:val="none" w:color="auto"/>
        </w:rPr>
        <w:t>领导</w:t>
      </w:r>
      <w:r>
        <w:rPr>
          <w:rFonts w:hint="eastAsia" w:ascii="仿宋_GB2312" w:eastAsia="仿宋_GB2312"/>
          <w:sz w:val="32"/>
          <w:szCs w:val="32"/>
          <w:highlight w:val="none"/>
          <w:u w:val="none" w:color="auto"/>
          <w:lang w:eastAsia="zh-CN"/>
        </w:rPr>
        <w:t>审批</w:t>
      </w:r>
      <w:r>
        <w:rPr>
          <w:rFonts w:hint="eastAsia" w:ascii="仿宋_GB2312" w:eastAsia="仿宋_GB2312"/>
          <w:sz w:val="32"/>
          <w:szCs w:val="32"/>
          <w:highlight w:val="none"/>
          <w:u w:val="none" w:color="auto"/>
        </w:rPr>
        <w:t>，申请</w:t>
      </w:r>
      <w:r>
        <w:rPr>
          <w:rFonts w:hint="eastAsia" w:ascii="仿宋_GB2312" w:eastAsia="仿宋_GB2312"/>
          <w:sz w:val="32"/>
          <w:szCs w:val="32"/>
          <w:highlight w:val="none"/>
          <w:u w:val="none" w:color="auto"/>
          <w:lang w:eastAsia="zh-CN"/>
        </w:rPr>
        <w:t>部门</w:t>
      </w:r>
      <w:r>
        <w:rPr>
          <w:rFonts w:hint="eastAsia" w:ascii="仿宋_GB2312" w:eastAsia="仿宋_GB2312"/>
          <w:sz w:val="32"/>
          <w:szCs w:val="32"/>
          <w:highlight w:val="none"/>
          <w:u w:val="none" w:color="auto"/>
        </w:rPr>
        <w:t>将审批后的单据打印盖章交至资产管理处。</w:t>
      </w:r>
    </w:p>
    <w:p>
      <w:pPr>
        <w:keepNext w:val="0"/>
        <w:keepLines w:val="0"/>
        <w:pageBreakBefore w:val="0"/>
        <w:numPr>
          <w:ilvl w:val="0"/>
          <w:numId w:val="0"/>
        </w:numPr>
        <w:tabs>
          <w:tab w:val="left" w:pos="0"/>
        </w:tabs>
        <w:kinsoku/>
        <w:wordWrap/>
        <w:overflowPunct/>
        <w:topLinePunct w:val="0"/>
        <w:bidi w:val="0"/>
        <w:snapToGrid/>
        <w:spacing w:line="580" w:lineRule="exact"/>
        <w:ind w:firstLine="640" w:firstLineChars="200"/>
        <w:textAlignment w:val="auto"/>
        <w:rPr>
          <w:rFonts w:hint="eastAsia" w:ascii="仿宋_GB2312" w:eastAsia="仿宋_GB2312"/>
          <w:sz w:val="32"/>
          <w:szCs w:val="32"/>
          <w:highlight w:val="none"/>
          <w:u w:val="none" w:color="auto"/>
        </w:rPr>
      </w:pPr>
      <w:r>
        <w:rPr>
          <w:rFonts w:hint="eastAsia" w:ascii="仿宋_GB2312" w:eastAsia="仿宋_GB2312"/>
          <w:sz w:val="32"/>
          <w:szCs w:val="32"/>
          <w:highlight w:val="none"/>
          <w:u w:val="none" w:color="auto"/>
          <w:lang w:eastAsia="zh-CN"/>
        </w:rPr>
        <w:t>（四）学院党委会议审议。</w:t>
      </w:r>
      <w:r>
        <w:rPr>
          <w:rFonts w:hint="eastAsia" w:ascii="仿宋_GB2312" w:eastAsia="仿宋_GB2312"/>
          <w:sz w:val="32"/>
          <w:szCs w:val="32"/>
          <w:highlight w:val="none"/>
          <w:u w:val="none" w:color="auto"/>
        </w:rPr>
        <w:t>资产管理处会同</w:t>
      </w:r>
      <w:r>
        <w:rPr>
          <w:rFonts w:hint="eastAsia" w:ascii="仿宋_GB2312" w:eastAsia="仿宋_GB2312"/>
          <w:sz w:val="32"/>
          <w:szCs w:val="32"/>
          <w:highlight w:val="none"/>
          <w:u w:val="none" w:color="auto"/>
          <w:lang w:val="en-US" w:eastAsia="zh-CN"/>
        </w:rPr>
        <w:t>计划财务处</w:t>
      </w:r>
      <w:r>
        <w:rPr>
          <w:rFonts w:hint="eastAsia" w:ascii="仿宋_GB2312" w:eastAsia="仿宋_GB2312"/>
          <w:sz w:val="32"/>
          <w:szCs w:val="32"/>
          <w:highlight w:val="none"/>
          <w:u w:val="none" w:color="auto"/>
        </w:rPr>
        <w:t>、申请</w:t>
      </w:r>
      <w:r>
        <w:rPr>
          <w:rFonts w:hint="eastAsia" w:ascii="仿宋_GB2312" w:eastAsia="仿宋_GB2312"/>
          <w:sz w:val="32"/>
          <w:szCs w:val="32"/>
          <w:highlight w:val="none"/>
          <w:u w:val="none" w:color="auto"/>
          <w:lang w:eastAsia="zh-CN"/>
        </w:rPr>
        <w:t>部门</w:t>
      </w:r>
      <w:r>
        <w:rPr>
          <w:rFonts w:hint="eastAsia" w:ascii="仿宋_GB2312" w:eastAsia="仿宋_GB2312"/>
          <w:sz w:val="32"/>
          <w:szCs w:val="32"/>
          <w:highlight w:val="none"/>
          <w:u w:val="none" w:color="auto"/>
        </w:rPr>
        <w:t>和相关专业技术人员进行清点、审核，提出处置意见，</w:t>
      </w:r>
      <w:r>
        <w:rPr>
          <w:rFonts w:hint="eastAsia" w:ascii="仿宋_GB2312" w:eastAsia="仿宋_GB2312"/>
          <w:sz w:val="32"/>
          <w:szCs w:val="32"/>
          <w:highlight w:val="none"/>
          <w:u w:val="none" w:color="auto"/>
          <w:lang w:eastAsia="zh-CN"/>
        </w:rPr>
        <w:t>经资产管理处分管院领导同意</w:t>
      </w:r>
      <w:r>
        <w:rPr>
          <w:rFonts w:hint="eastAsia" w:ascii="仿宋_GB2312" w:eastAsia="仿宋_GB2312"/>
          <w:sz w:val="32"/>
          <w:szCs w:val="32"/>
          <w:highlight w:val="none"/>
          <w:u w:val="none" w:color="auto"/>
        </w:rPr>
        <w:t>后</w:t>
      </w:r>
      <w:r>
        <w:rPr>
          <w:rFonts w:hint="eastAsia" w:ascii="仿宋_GB2312" w:eastAsia="仿宋_GB2312"/>
          <w:sz w:val="32"/>
          <w:szCs w:val="32"/>
          <w:highlight w:val="none"/>
          <w:u w:val="none" w:color="auto"/>
          <w:lang w:eastAsia="zh-CN"/>
        </w:rPr>
        <w:t>提交学院</w:t>
      </w:r>
      <w:r>
        <w:rPr>
          <w:rFonts w:hint="eastAsia" w:ascii="仿宋_GB2312" w:eastAsia="仿宋_GB2312"/>
          <w:sz w:val="32"/>
          <w:szCs w:val="32"/>
          <w:highlight w:val="none"/>
          <w:u w:val="none" w:color="auto"/>
        </w:rPr>
        <w:t>党委会审</w:t>
      </w:r>
      <w:r>
        <w:rPr>
          <w:rFonts w:hint="eastAsia" w:ascii="仿宋_GB2312" w:eastAsia="仿宋_GB2312"/>
          <w:sz w:val="32"/>
          <w:szCs w:val="32"/>
          <w:highlight w:val="none"/>
          <w:u w:val="none" w:color="auto"/>
          <w:lang w:eastAsia="zh-CN"/>
        </w:rPr>
        <w:t>议。</w:t>
      </w:r>
    </w:p>
    <w:p>
      <w:pPr>
        <w:keepNext w:val="0"/>
        <w:keepLines w:val="0"/>
        <w:pageBreakBefore w:val="0"/>
        <w:numPr>
          <w:ilvl w:val="0"/>
          <w:numId w:val="0"/>
        </w:numPr>
        <w:tabs>
          <w:tab w:val="left" w:pos="0"/>
        </w:tabs>
        <w:kinsoku/>
        <w:wordWrap/>
        <w:overflowPunct/>
        <w:topLinePunct w:val="0"/>
        <w:bidi w:val="0"/>
        <w:snapToGrid/>
        <w:spacing w:line="580" w:lineRule="exact"/>
        <w:ind w:firstLine="640" w:firstLineChars="200"/>
        <w:textAlignment w:val="auto"/>
        <w:rPr>
          <w:rFonts w:hint="eastAsia" w:ascii="仿宋_GB2312" w:eastAsia="仿宋_GB2312"/>
          <w:sz w:val="32"/>
          <w:szCs w:val="32"/>
          <w:highlight w:val="none"/>
          <w:u w:val="none" w:color="auto"/>
          <w:lang w:val="en-US" w:eastAsia="zh-CN"/>
        </w:rPr>
      </w:pPr>
      <w:r>
        <w:rPr>
          <w:rFonts w:hint="eastAsia" w:ascii="仿宋_GB2312" w:eastAsia="仿宋_GB2312"/>
          <w:sz w:val="32"/>
          <w:szCs w:val="32"/>
          <w:highlight w:val="none"/>
          <w:u w:val="none" w:color="auto"/>
          <w:lang w:eastAsia="zh-CN"/>
        </w:rPr>
        <w:t>（五）资产处置评估鉴定。</w:t>
      </w:r>
      <w:r>
        <w:rPr>
          <w:rFonts w:hint="eastAsia" w:ascii="仿宋_GB2312" w:eastAsia="仿宋_GB2312"/>
          <w:sz w:val="32"/>
          <w:szCs w:val="32"/>
          <w:highlight w:val="none"/>
          <w:u w:val="none" w:color="auto"/>
          <w:lang w:eastAsia="zh-CN"/>
        </w:rPr>
        <w:t>以转让、置换、报废等方式处置国有资产的，由</w:t>
      </w:r>
      <w:r>
        <w:rPr>
          <w:rFonts w:hint="eastAsia" w:ascii="仿宋_GB2312" w:eastAsia="仿宋_GB2312"/>
          <w:sz w:val="32"/>
          <w:szCs w:val="32"/>
          <w:highlight w:val="none"/>
          <w:u w:val="none" w:color="auto"/>
        </w:rPr>
        <w:t>资产管理处委托</w:t>
      </w:r>
      <w:r>
        <w:rPr>
          <w:rFonts w:hint="eastAsia" w:ascii="仿宋_GB2312" w:eastAsia="仿宋_GB2312"/>
          <w:sz w:val="32"/>
          <w:szCs w:val="32"/>
          <w:highlight w:val="none"/>
          <w:u w:val="none" w:color="auto"/>
          <w:lang w:eastAsia="zh-CN"/>
        </w:rPr>
        <w:t>第三方</w:t>
      </w:r>
      <w:r>
        <w:rPr>
          <w:rFonts w:hint="eastAsia" w:ascii="仿宋_GB2312" w:eastAsia="仿宋_GB2312"/>
          <w:sz w:val="32"/>
          <w:szCs w:val="32"/>
          <w:highlight w:val="none"/>
          <w:u w:val="none" w:color="auto"/>
        </w:rPr>
        <w:t>资产评估公司对拟处置的</w:t>
      </w:r>
      <w:r>
        <w:rPr>
          <w:rFonts w:hint="eastAsia" w:ascii="仿宋_GB2312" w:eastAsia="仿宋_GB2312"/>
          <w:sz w:val="32"/>
          <w:szCs w:val="32"/>
          <w:highlight w:val="none"/>
          <w:u w:val="none" w:color="auto"/>
          <w:lang w:eastAsia="zh-CN"/>
        </w:rPr>
        <w:t>国有</w:t>
      </w:r>
      <w:r>
        <w:rPr>
          <w:rFonts w:hint="eastAsia" w:ascii="仿宋_GB2312" w:eastAsia="仿宋_GB2312"/>
          <w:sz w:val="32"/>
          <w:szCs w:val="32"/>
          <w:highlight w:val="none"/>
          <w:u w:val="none" w:color="auto"/>
        </w:rPr>
        <w:t>资产进行评估</w:t>
      </w:r>
      <w:r>
        <w:rPr>
          <w:rFonts w:hint="eastAsia" w:ascii="仿宋_GB2312" w:eastAsia="仿宋_GB2312"/>
          <w:sz w:val="32"/>
          <w:szCs w:val="32"/>
          <w:highlight w:val="none"/>
          <w:u w:val="none" w:color="auto"/>
          <w:lang w:eastAsia="zh-CN"/>
        </w:rPr>
        <w:t>；以损失核销方式处置国有资产的，</w:t>
      </w:r>
      <w:r>
        <w:rPr>
          <w:rFonts w:hint="eastAsia" w:ascii="仿宋_GB2312" w:eastAsia="仿宋_GB2312"/>
          <w:sz w:val="32"/>
          <w:szCs w:val="32"/>
          <w:highlight w:val="none"/>
          <w:u w:val="none" w:color="auto"/>
          <w:lang w:val="en-US" w:eastAsia="zh-CN"/>
        </w:rPr>
        <w:t>应提供国有资产盘亏、毁损以及非正常损失的情况说明，第三方机构出具的经济鉴证证明，赔偿责任认定说明和责任认定核批文件。</w:t>
      </w:r>
    </w:p>
    <w:p>
      <w:pPr>
        <w:keepNext w:val="0"/>
        <w:keepLines w:val="0"/>
        <w:pageBreakBefore w:val="0"/>
        <w:numPr>
          <w:ilvl w:val="0"/>
          <w:numId w:val="0"/>
        </w:numPr>
        <w:tabs>
          <w:tab w:val="left" w:pos="0"/>
        </w:tabs>
        <w:kinsoku/>
        <w:wordWrap/>
        <w:overflowPunct/>
        <w:topLinePunct w:val="0"/>
        <w:bidi w:val="0"/>
        <w:snapToGrid/>
        <w:spacing w:line="580" w:lineRule="exact"/>
        <w:ind w:firstLine="640" w:firstLineChars="200"/>
        <w:textAlignment w:val="auto"/>
        <w:rPr>
          <w:rFonts w:hint="eastAsia" w:ascii="仿宋_GB2312" w:eastAsia="仿宋_GB2312"/>
          <w:sz w:val="32"/>
          <w:szCs w:val="32"/>
          <w:highlight w:val="none"/>
          <w:u w:val="none" w:color="auto"/>
        </w:rPr>
      </w:pPr>
      <w:r>
        <w:rPr>
          <w:rFonts w:hint="eastAsia" w:ascii="仿宋_GB2312" w:eastAsia="仿宋_GB2312"/>
          <w:sz w:val="32"/>
          <w:szCs w:val="32"/>
          <w:highlight w:val="none"/>
          <w:u w:val="none" w:color="auto"/>
          <w:lang w:eastAsia="zh-CN"/>
        </w:rPr>
        <w:t>（六）主管部门备案审批。</w:t>
      </w:r>
      <w:r>
        <w:rPr>
          <w:rFonts w:hint="eastAsia" w:ascii="仿宋_GB2312" w:eastAsia="仿宋_GB2312"/>
          <w:sz w:val="32"/>
          <w:szCs w:val="32"/>
          <w:highlight w:val="none"/>
          <w:u w:val="none" w:color="auto"/>
          <w:lang w:eastAsia="zh-CN"/>
        </w:rPr>
        <w:t>根据本办法</w:t>
      </w:r>
      <w:r>
        <w:rPr>
          <w:rFonts w:hint="eastAsia" w:ascii="仿宋_GB2312" w:eastAsia="仿宋_GB2312"/>
          <w:sz w:val="32"/>
          <w:szCs w:val="32"/>
          <w:highlight w:val="none"/>
          <w:u w:val="none" w:color="auto"/>
          <w:lang w:val="en-US" w:eastAsia="zh-CN"/>
        </w:rPr>
        <w:t>第三十九条</w:t>
      </w:r>
      <w:r>
        <w:rPr>
          <w:rFonts w:hint="eastAsia" w:ascii="仿宋_GB2312" w:eastAsia="仿宋_GB2312"/>
          <w:sz w:val="32"/>
          <w:szCs w:val="32"/>
          <w:highlight w:val="none"/>
          <w:u w:val="none" w:color="auto"/>
          <w:lang w:eastAsia="zh-CN"/>
        </w:rPr>
        <w:t>审批权限进行国有资产处置备案或审批。</w:t>
      </w:r>
    </w:p>
    <w:p>
      <w:pPr>
        <w:keepNext w:val="0"/>
        <w:keepLines w:val="0"/>
        <w:pageBreakBefore w:val="0"/>
        <w:numPr>
          <w:ilvl w:val="0"/>
          <w:numId w:val="0"/>
        </w:numPr>
        <w:tabs>
          <w:tab w:val="left" w:pos="0"/>
        </w:tabs>
        <w:kinsoku/>
        <w:wordWrap/>
        <w:overflowPunct/>
        <w:topLinePunct w:val="0"/>
        <w:bidi w:val="0"/>
        <w:snapToGrid/>
        <w:spacing w:line="580" w:lineRule="exact"/>
        <w:ind w:firstLine="640" w:firstLineChars="200"/>
        <w:textAlignment w:val="auto"/>
        <w:rPr>
          <w:rFonts w:hint="eastAsia" w:ascii="仿宋_GB2312" w:eastAsia="仿宋_GB2312"/>
          <w:sz w:val="32"/>
          <w:szCs w:val="32"/>
          <w:highlight w:val="none"/>
          <w:u w:val="none" w:color="auto"/>
          <w:lang w:val="en-US" w:eastAsia="zh-CN"/>
        </w:rPr>
      </w:pPr>
      <w:r>
        <w:rPr>
          <w:rFonts w:hint="eastAsia" w:ascii="仿宋_GB2312" w:eastAsia="仿宋_GB2312"/>
          <w:sz w:val="32"/>
          <w:szCs w:val="32"/>
          <w:highlight w:val="none"/>
          <w:u w:val="none" w:color="auto"/>
          <w:lang w:eastAsia="zh-CN"/>
        </w:rPr>
        <w:t>（七）开展资产公开处置。</w:t>
      </w:r>
      <w:r>
        <w:rPr>
          <w:rFonts w:hint="eastAsia" w:ascii="仿宋_GB2312" w:eastAsia="仿宋_GB2312"/>
          <w:sz w:val="32"/>
          <w:szCs w:val="32"/>
          <w:highlight w:val="none"/>
          <w:u w:val="none" w:color="auto"/>
          <w:lang w:eastAsia="zh-CN"/>
        </w:rPr>
        <w:t>经批准以无偿划转、对外捐赠、置换方式处置国有资产的，根据《江西省省级事业单位国有资产处置管理办法》(赣财资〔2023〕27号)有关规定办理处置手续；经批准以转让、报废方式处置国有资产的，应通过江西省公共资源交易平台进行公开处置，其中处置报废资产也可以按照竞争择优的原则选择具有相关专业资质的废旧物资回收机构进行处置。</w:t>
      </w:r>
    </w:p>
    <w:p>
      <w:pPr>
        <w:keepNext w:val="0"/>
        <w:keepLines w:val="0"/>
        <w:pageBreakBefore w:val="0"/>
        <w:numPr>
          <w:ilvl w:val="0"/>
          <w:numId w:val="0"/>
        </w:numPr>
        <w:tabs>
          <w:tab w:val="left" w:pos="0"/>
        </w:tabs>
        <w:kinsoku/>
        <w:wordWrap/>
        <w:overflowPunct/>
        <w:topLinePunct w:val="0"/>
        <w:bidi w:val="0"/>
        <w:snapToGrid/>
        <w:spacing w:line="580" w:lineRule="exact"/>
        <w:ind w:firstLine="640" w:firstLineChars="200"/>
        <w:textAlignment w:val="auto"/>
        <w:rPr>
          <w:rFonts w:hint="eastAsia" w:ascii="仿宋_GB2312" w:eastAsia="仿宋_GB2312"/>
          <w:sz w:val="32"/>
          <w:szCs w:val="32"/>
          <w:highlight w:val="none"/>
          <w:u w:val="none" w:color="auto"/>
        </w:rPr>
      </w:pPr>
      <w:r>
        <w:rPr>
          <w:rFonts w:hint="eastAsia" w:ascii="仿宋_GB2312" w:eastAsia="仿宋_GB2312"/>
          <w:sz w:val="32"/>
          <w:szCs w:val="32"/>
          <w:highlight w:val="none"/>
          <w:u w:val="none" w:color="auto"/>
          <w:lang w:eastAsia="zh-CN"/>
        </w:rPr>
        <w:t>（八）处置资产账务核销。</w:t>
      </w:r>
      <w:r>
        <w:rPr>
          <w:rFonts w:hint="eastAsia" w:ascii="仿宋_GB2312" w:eastAsia="仿宋_GB2312"/>
          <w:sz w:val="32"/>
          <w:szCs w:val="32"/>
          <w:highlight w:val="none"/>
          <w:u w:val="none" w:color="auto"/>
          <w:lang w:eastAsia="zh-CN"/>
        </w:rPr>
        <w:t>国有资产</w:t>
      </w:r>
      <w:r>
        <w:rPr>
          <w:rFonts w:hint="eastAsia" w:ascii="仿宋_GB2312" w:eastAsia="仿宋_GB2312"/>
          <w:sz w:val="32"/>
          <w:szCs w:val="32"/>
          <w:highlight w:val="none"/>
          <w:u w:val="none" w:color="auto"/>
        </w:rPr>
        <w:t>公开处置后，由资产管理处将相关材料报</w:t>
      </w:r>
      <w:r>
        <w:rPr>
          <w:rFonts w:hint="eastAsia" w:ascii="仿宋_GB2312" w:eastAsia="仿宋_GB2312"/>
          <w:sz w:val="32"/>
          <w:szCs w:val="32"/>
          <w:highlight w:val="none"/>
          <w:u w:val="none" w:color="auto"/>
          <w:lang w:eastAsia="zh-CN"/>
        </w:rPr>
        <w:t>计划</w:t>
      </w:r>
      <w:r>
        <w:rPr>
          <w:rFonts w:hint="eastAsia" w:ascii="仿宋_GB2312" w:eastAsia="仿宋_GB2312"/>
          <w:sz w:val="32"/>
          <w:szCs w:val="32"/>
          <w:highlight w:val="none"/>
          <w:u w:val="none" w:color="auto"/>
        </w:rPr>
        <w:t>财务处办理账务核销手续。</w:t>
      </w:r>
    </w:p>
    <w:p>
      <w:pPr>
        <w:keepNext w:val="0"/>
        <w:keepLines w:val="0"/>
        <w:pageBreakBefore w:val="0"/>
        <w:numPr>
          <w:ilvl w:val="0"/>
          <w:numId w:val="0"/>
        </w:numPr>
        <w:tabs>
          <w:tab w:val="left" w:pos="0"/>
        </w:tabs>
        <w:kinsoku/>
        <w:wordWrap/>
        <w:overflowPunct/>
        <w:topLinePunct w:val="0"/>
        <w:bidi w:val="0"/>
        <w:snapToGrid/>
        <w:spacing w:line="580" w:lineRule="exact"/>
        <w:ind w:left="-10" w:leftChars="0" w:firstLine="640" w:firstLineChars="0"/>
        <w:textAlignment w:val="auto"/>
        <w:rPr>
          <w:rFonts w:hint="eastAsia" w:ascii="仿宋_GB2312" w:eastAsia="仿宋_GB2312"/>
          <w:sz w:val="32"/>
          <w:szCs w:val="32"/>
          <w:u w:val="none" w:color="auto"/>
          <w:lang w:eastAsia="zh-CN"/>
        </w:rPr>
      </w:pPr>
      <w:r>
        <w:rPr>
          <w:rFonts w:hint="eastAsia" w:ascii="仿宋_GB2312" w:eastAsia="仿宋_GB2312"/>
          <w:b/>
          <w:bCs/>
          <w:sz w:val="32"/>
          <w:szCs w:val="32"/>
          <w:u w:val="none" w:color="auto"/>
          <w:lang w:val="en-US" w:eastAsia="zh-CN"/>
        </w:rPr>
        <w:t>第四十一条</w:t>
      </w:r>
      <w:r>
        <w:rPr>
          <w:rFonts w:hint="eastAsia" w:ascii="仿宋" w:hAnsi="仿宋" w:eastAsia="仿宋" w:cs="仿宋"/>
          <w:b/>
          <w:kern w:val="2"/>
          <w:sz w:val="32"/>
          <w:szCs w:val="32"/>
          <w:u w:val="none" w:color="auto"/>
          <w:lang w:val="en-US" w:eastAsia="zh-CN" w:bidi="ar-SA"/>
        </w:rPr>
        <w:t xml:space="preserve"> </w:t>
      </w:r>
      <w:r>
        <w:rPr>
          <w:rFonts w:hint="eastAsia" w:ascii="仿宋_GB2312" w:eastAsia="仿宋_GB2312"/>
          <w:sz w:val="32"/>
          <w:szCs w:val="32"/>
          <w:u w:val="none" w:color="auto"/>
        </w:rPr>
        <w:t>学院国有资产</w:t>
      </w:r>
      <w:r>
        <w:rPr>
          <w:rFonts w:hint="eastAsia" w:ascii="仿宋_GB2312" w:eastAsia="仿宋_GB2312"/>
          <w:sz w:val="32"/>
          <w:szCs w:val="32"/>
          <w:u w:val="none" w:color="auto"/>
          <w:lang w:eastAsia="zh-CN"/>
        </w:rPr>
        <w:t>在转让、置换、报废等处置国有资产过程中获得的收入，应当在扣除相关税金、资产评估费等费用后，按照政府非税收入和国库集中收缴管理有关规定及时上缴国库。</w:t>
      </w:r>
    </w:p>
    <w:p>
      <w:pPr>
        <w:keepNext w:val="0"/>
        <w:keepLines w:val="0"/>
        <w:pageBreakBefore w:val="0"/>
        <w:widowControl w:val="0"/>
        <w:kinsoku/>
        <w:wordWrap/>
        <w:overflowPunct/>
        <w:topLinePunct w:val="0"/>
        <w:autoSpaceDE/>
        <w:autoSpaceDN/>
        <w:bidi w:val="0"/>
        <w:adjustRightInd/>
        <w:snapToGrid/>
        <w:spacing w:before="0" w:beforeLines="50" w:after="0" w:afterLines="50" w:line="580" w:lineRule="exact"/>
        <w:jc w:val="center"/>
        <w:textAlignment w:val="auto"/>
        <w:outlineLvl w:val="0"/>
        <w:rPr>
          <w:rFonts w:hint="eastAsia" w:ascii="黑体" w:hAnsi="黑体" w:eastAsia="黑体"/>
          <w:sz w:val="32"/>
          <w:szCs w:val="32"/>
          <w:u w:val="none" w:color="auto"/>
          <w:lang w:eastAsia="zh-CN"/>
        </w:rPr>
      </w:pPr>
      <w:r>
        <w:rPr>
          <w:rFonts w:hint="eastAsia" w:ascii="黑体" w:hAnsi="黑体" w:eastAsia="黑体"/>
          <w:sz w:val="32"/>
          <w:szCs w:val="32"/>
          <w:u w:val="none" w:color="auto"/>
        </w:rPr>
        <w:t xml:space="preserve">第六章  </w:t>
      </w:r>
      <w:r>
        <w:rPr>
          <w:rFonts w:hint="eastAsia" w:ascii="黑体" w:hAnsi="黑体" w:eastAsia="黑体"/>
          <w:sz w:val="32"/>
          <w:szCs w:val="32"/>
          <w:u w:val="none" w:color="auto"/>
          <w:lang w:eastAsia="zh-CN"/>
        </w:rPr>
        <w:t>基础管理</w:t>
      </w:r>
    </w:p>
    <w:p>
      <w:pPr>
        <w:keepNext w:val="0"/>
        <w:keepLines w:val="0"/>
        <w:pageBreakBefore w:val="0"/>
        <w:numPr>
          <w:ilvl w:val="0"/>
          <w:numId w:val="0"/>
        </w:numPr>
        <w:tabs>
          <w:tab w:val="left" w:pos="0"/>
        </w:tabs>
        <w:kinsoku/>
        <w:wordWrap/>
        <w:overflowPunct/>
        <w:topLinePunct w:val="0"/>
        <w:bidi w:val="0"/>
        <w:snapToGrid/>
        <w:spacing w:line="580" w:lineRule="exact"/>
        <w:ind w:left="-10" w:leftChars="0" w:firstLine="640" w:firstLineChars="0"/>
        <w:textAlignment w:val="auto"/>
        <w:rPr>
          <w:rFonts w:hint="eastAsia" w:ascii="仿宋_GB2312" w:eastAsia="仿宋_GB2312"/>
          <w:sz w:val="32"/>
          <w:szCs w:val="32"/>
          <w:u w:val="none" w:color="auto"/>
          <w:lang w:val="en-US" w:eastAsia="zh-CN"/>
        </w:rPr>
      </w:pPr>
      <w:r>
        <w:rPr>
          <w:rFonts w:hint="eastAsia" w:ascii="仿宋_GB2312" w:eastAsia="仿宋_GB2312"/>
          <w:b/>
          <w:bCs/>
          <w:sz w:val="32"/>
          <w:szCs w:val="32"/>
          <w:u w:val="none" w:color="auto"/>
          <w:lang w:val="en-US" w:eastAsia="zh-CN"/>
        </w:rPr>
        <w:t>第</w:t>
      </w:r>
      <w:r>
        <w:rPr>
          <w:rFonts w:hint="eastAsia" w:ascii="仿宋_GB2312" w:eastAsia="仿宋_GB2312"/>
          <w:b/>
          <w:bCs/>
          <w:sz w:val="32"/>
          <w:szCs w:val="32"/>
          <w:u w:val="none" w:color="auto"/>
          <w:lang w:eastAsia="zh-CN"/>
        </w:rPr>
        <w:t>四十二</w:t>
      </w:r>
      <w:r>
        <w:rPr>
          <w:rFonts w:hint="eastAsia" w:ascii="仿宋_GB2312" w:eastAsia="仿宋_GB2312"/>
          <w:b/>
          <w:bCs/>
          <w:sz w:val="32"/>
          <w:szCs w:val="32"/>
          <w:u w:val="none" w:color="auto"/>
          <w:lang w:val="en-US" w:eastAsia="zh-CN"/>
        </w:rPr>
        <w:t>条</w:t>
      </w:r>
      <w:r>
        <w:rPr>
          <w:rFonts w:hint="eastAsia" w:ascii="仿宋" w:hAnsi="仿宋" w:eastAsia="仿宋" w:cs="仿宋"/>
          <w:b/>
          <w:kern w:val="2"/>
          <w:sz w:val="32"/>
          <w:szCs w:val="32"/>
          <w:u w:val="none" w:color="auto"/>
          <w:lang w:val="en-US" w:eastAsia="zh-CN" w:bidi="ar-SA"/>
        </w:rPr>
        <w:t xml:space="preserve"> </w:t>
      </w:r>
      <w:r>
        <w:rPr>
          <w:rFonts w:hint="eastAsia" w:ascii="仿宋_GB2312" w:eastAsia="仿宋_GB2312"/>
          <w:sz w:val="32"/>
          <w:szCs w:val="32"/>
          <w:u w:val="none" w:color="auto"/>
          <w:lang w:val="en-US" w:eastAsia="zh-CN"/>
        </w:rPr>
        <w:t>各部门应对本部门所配置的资产进行验收，通过资产管理系统进行登记、建立资产卡片和实物资产明细账。</w:t>
      </w:r>
    </w:p>
    <w:p>
      <w:pPr>
        <w:keepNext w:val="0"/>
        <w:keepLines w:val="0"/>
        <w:pageBreakBefore w:val="0"/>
        <w:numPr>
          <w:ilvl w:val="0"/>
          <w:numId w:val="0"/>
        </w:numPr>
        <w:tabs>
          <w:tab w:val="left" w:pos="0"/>
        </w:tabs>
        <w:kinsoku/>
        <w:wordWrap/>
        <w:overflowPunct/>
        <w:topLinePunct w:val="0"/>
        <w:bidi w:val="0"/>
        <w:snapToGrid/>
        <w:spacing w:line="580" w:lineRule="exact"/>
        <w:ind w:left="-10" w:leftChars="0" w:firstLine="640" w:firstLineChars="0"/>
        <w:textAlignment w:val="auto"/>
        <w:rPr>
          <w:rFonts w:hint="default" w:ascii="仿宋_GB2312" w:eastAsia="仿宋_GB2312"/>
          <w:sz w:val="32"/>
          <w:szCs w:val="32"/>
          <w:u w:val="none" w:color="auto"/>
          <w:lang w:val="en-US" w:eastAsia="zh-CN"/>
        </w:rPr>
      </w:pPr>
      <w:r>
        <w:rPr>
          <w:rFonts w:hint="eastAsia" w:ascii="仿宋_GB2312" w:eastAsia="仿宋_GB2312"/>
          <w:b/>
          <w:bCs/>
          <w:sz w:val="32"/>
          <w:szCs w:val="32"/>
          <w:u w:val="none" w:color="auto"/>
          <w:lang w:eastAsia="zh-CN"/>
        </w:rPr>
        <w:t>第</w:t>
      </w:r>
      <w:r>
        <w:rPr>
          <w:rFonts w:hint="eastAsia" w:ascii="仿宋_GB2312" w:eastAsia="仿宋_GB2312"/>
          <w:b/>
          <w:bCs/>
          <w:sz w:val="32"/>
          <w:szCs w:val="32"/>
          <w:u w:val="none" w:color="auto"/>
          <w:lang w:val="en-US" w:eastAsia="zh-CN"/>
        </w:rPr>
        <w:t>四十三</w:t>
      </w:r>
      <w:r>
        <w:rPr>
          <w:rFonts w:hint="eastAsia" w:ascii="仿宋_GB2312" w:eastAsia="仿宋_GB2312"/>
          <w:b/>
          <w:bCs/>
          <w:sz w:val="32"/>
          <w:szCs w:val="32"/>
          <w:u w:val="none" w:color="auto"/>
          <w:lang w:eastAsia="zh-CN"/>
        </w:rPr>
        <w:t>条</w:t>
      </w:r>
      <w:r>
        <w:rPr>
          <w:rFonts w:hint="eastAsia" w:ascii="仿宋_GB2312" w:eastAsia="仿宋_GB2312"/>
          <w:sz w:val="32"/>
          <w:szCs w:val="32"/>
          <w:u w:val="none" w:color="auto"/>
          <w:lang w:val="en-US" w:eastAsia="zh-CN"/>
        </w:rPr>
        <w:t xml:space="preserve"> </w:t>
      </w:r>
      <w:r>
        <w:rPr>
          <w:rFonts w:hint="eastAsia" w:ascii="仿宋_GB2312" w:eastAsia="仿宋_GB2312"/>
          <w:sz w:val="32"/>
          <w:szCs w:val="32"/>
          <w:u w:val="none" w:color="auto"/>
        </w:rPr>
        <w:t>资产管理处将每年</w:t>
      </w:r>
      <w:r>
        <w:rPr>
          <w:rFonts w:hint="default" w:ascii="仿宋_GB2312" w:eastAsia="仿宋_GB2312"/>
          <w:color w:val="auto"/>
          <w:sz w:val="32"/>
          <w:szCs w:val="32"/>
          <w:highlight w:val="none"/>
          <w:u w:val="none" w:color="auto"/>
          <w:lang w:val="en-US"/>
        </w:rPr>
        <w:t>6-7</w:t>
      </w:r>
      <w:r>
        <w:rPr>
          <w:rFonts w:hint="eastAsia" w:ascii="仿宋_GB2312" w:eastAsia="仿宋_GB2312"/>
          <w:color w:val="auto"/>
          <w:sz w:val="32"/>
          <w:szCs w:val="32"/>
          <w:highlight w:val="none"/>
          <w:u w:val="none" w:color="auto"/>
          <w:lang w:val="en-US" w:eastAsia="zh-CN"/>
        </w:rPr>
        <w:t>月</w:t>
      </w:r>
      <w:r>
        <w:rPr>
          <w:rFonts w:hint="eastAsia" w:ascii="仿宋_GB2312" w:eastAsia="仿宋_GB2312"/>
          <w:sz w:val="32"/>
          <w:szCs w:val="32"/>
          <w:u w:val="none" w:color="auto"/>
        </w:rPr>
        <w:t>组织各部门对</w:t>
      </w:r>
      <w:r>
        <w:rPr>
          <w:rFonts w:hint="eastAsia" w:ascii="仿宋_GB2312" w:eastAsia="仿宋_GB2312"/>
          <w:sz w:val="32"/>
          <w:szCs w:val="32"/>
          <w:u w:val="none" w:color="auto"/>
          <w:lang w:eastAsia="zh-CN"/>
        </w:rPr>
        <w:t>部门所属国有</w:t>
      </w:r>
      <w:r>
        <w:rPr>
          <w:rFonts w:hint="eastAsia" w:ascii="仿宋_GB2312" w:eastAsia="仿宋_GB2312"/>
          <w:sz w:val="32"/>
          <w:szCs w:val="32"/>
          <w:u w:val="none" w:color="auto"/>
        </w:rPr>
        <w:t>资产进行</w:t>
      </w:r>
      <w:r>
        <w:rPr>
          <w:rFonts w:hint="eastAsia" w:ascii="仿宋_GB2312" w:eastAsia="仿宋_GB2312"/>
          <w:sz w:val="32"/>
          <w:szCs w:val="32"/>
          <w:u w:val="none" w:color="auto"/>
          <w:lang w:eastAsia="zh-CN"/>
        </w:rPr>
        <w:t>盘点、对账，出现盘亏盘盈的，应查明原因、分清责任</w:t>
      </w:r>
      <w:r>
        <w:rPr>
          <w:rFonts w:hint="eastAsia" w:ascii="仿宋_GB2312" w:eastAsia="仿宋_GB2312"/>
          <w:sz w:val="32"/>
          <w:szCs w:val="32"/>
          <w:u w:val="none" w:color="auto"/>
        </w:rPr>
        <w:t>，</w:t>
      </w:r>
      <w:r>
        <w:rPr>
          <w:rFonts w:hint="eastAsia" w:ascii="仿宋_GB2312" w:eastAsia="仿宋_GB2312"/>
          <w:sz w:val="32"/>
          <w:szCs w:val="32"/>
          <w:u w:val="none" w:color="auto"/>
          <w:lang w:eastAsia="zh-CN"/>
        </w:rPr>
        <w:t>并按照财务、会计和资产管理制度有关规定处理，做到账实相符和账账相符。</w:t>
      </w:r>
    </w:p>
    <w:p>
      <w:pPr>
        <w:keepNext w:val="0"/>
        <w:keepLines w:val="0"/>
        <w:pageBreakBefore w:val="0"/>
        <w:numPr>
          <w:ilvl w:val="0"/>
          <w:numId w:val="0"/>
        </w:numPr>
        <w:tabs>
          <w:tab w:val="left" w:pos="0"/>
        </w:tabs>
        <w:kinsoku/>
        <w:wordWrap/>
        <w:overflowPunct/>
        <w:topLinePunct w:val="0"/>
        <w:bidi w:val="0"/>
        <w:snapToGrid/>
        <w:spacing w:line="580" w:lineRule="exact"/>
        <w:ind w:left="-10" w:leftChars="0" w:firstLine="640" w:firstLineChars="0"/>
        <w:textAlignment w:val="auto"/>
        <w:rPr>
          <w:rFonts w:hint="eastAsia" w:ascii="仿宋_GB2312" w:eastAsia="仿宋_GB2312"/>
          <w:sz w:val="32"/>
          <w:szCs w:val="32"/>
          <w:u w:val="none" w:color="auto"/>
          <w:lang w:val="en-US" w:eastAsia="zh-CN"/>
        </w:rPr>
      </w:pPr>
      <w:r>
        <w:rPr>
          <w:rFonts w:hint="eastAsia" w:ascii="仿宋_GB2312" w:eastAsia="仿宋_GB2312"/>
          <w:b/>
          <w:bCs/>
          <w:sz w:val="32"/>
          <w:szCs w:val="32"/>
          <w:u w:val="none" w:color="auto"/>
          <w:lang w:val="en-US" w:eastAsia="zh-CN"/>
        </w:rPr>
        <w:t>第四十四条</w:t>
      </w:r>
      <w:r>
        <w:rPr>
          <w:rFonts w:hint="eastAsia" w:ascii="仿宋" w:hAnsi="仿宋" w:eastAsia="仿宋" w:cs="仿宋"/>
          <w:b/>
          <w:kern w:val="2"/>
          <w:sz w:val="32"/>
          <w:szCs w:val="32"/>
          <w:u w:val="none" w:color="auto"/>
          <w:lang w:val="en-US" w:eastAsia="zh-CN" w:bidi="ar-SA"/>
        </w:rPr>
        <w:t xml:space="preserve"> </w:t>
      </w:r>
      <w:r>
        <w:rPr>
          <w:rFonts w:hint="eastAsia" w:ascii="仿宋_GB2312" w:eastAsia="仿宋_GB2312"/>
          <w:sz w:val="32"/>
          <w:szCs w:val="32"/>
          <w:u w:val="none" w:color="auto"/>
          <w:lang w:val="en-US" w:eastAsia="zh-CN"/>
        </w:rPr>
        <w:t>采用建设方式配置资产的，应当在建设项目竣工验收合格后及时办理资产交付手续，并在规定期限内办理竣工财务决算，期限最长不得超过1年。</w:t>
      </w:r>
    </w:p>
    <w:p>
      <w:pPr>
        <w:keepNext w:val="0"/>
        <w:keepLines w:val="0"/>
        <w:pageBreakBefore w:val="0"/>
        <w:numPr>
          <w:ilvl w:val="0"/>
          <w:numId w:val="0"/>
        </w:numPr>
        <w:tabs>
          <w:tab w:val="left" w:pos="0"/>
        </w:tabs>
        <w:kinsoku/>
        <w:wordWrap/>
        <w:overflowPunct/>
        <w:topLinePunct w:val="0"/>
        <w:bidi w:val="0"/>
        <w:snapToGrid/>
        <w:spacing w:line="580" w:lineRule="exact"/>
        <w:ind w:left="-10" w:leftChars="0" w:firstLine="640" w:firstLineChars="0"/>
        <w:textAlignment w:val="auto"/>
        <w:rPr>
          <w:rFonts w:hint="eastAsia" w:ascii="仿宋_GB2312" w:eastAsia="仿宋_GB2312"/>
          <w:sz w:val="32"/>
          <w:szCs w:val="32"/>
          <w:u w:val="none" w:color="auto"/>
          <w:lang w:val="en-US" w:eastAsia="zh-CN"/>
        </w:rPr>
      </w:pPr>
      <w:r>
        <w:rPr>
          <w:rFonts w:hint="eastAsia" w:ascii="仿宋_GB2312" w:eastAsia="仿宋_GB2312"/>
          <w:sz w:val="32"/>
          <w:szCs w:val="32"/>
          <w:u w:val="none" w:color="auto"/>
          <w:lang w:val="en-US" w:eastAsia="zh-CN"/>
        </w:rPr>
        <w:t>对已交付但未办理竣工财务决算的建设项目，应该按照估计价值入账，待办理竣工决算后再按实际成本调整原来的暂估价值。</w:t>
      </w:r>
    </w:p>
    <w:p>
      <w:pPr>
        <w:keepNext w:val="0"/>
        <w:keepLines w:val="0"/>
        <w:pageBreakBefore w:val="0"/>
        <w:numPr>
          <w:ilvl w:val="0"/>
          <w:numId w:val="0"/>
        </w:numPr>
        <w:tabs>
          <w:tab w:val="left" w:pos="0"/>
        </w:tabs>
        <w:kinsoku/>
        <w:wordWrap/>
        <w:overflowPunct/>
        <w:topLinePunct w:val="0"/>
        <w:bidi w:val="0"/>
        <w:snapToGrid/>
        <w:spacing w:line="580" w:lineRule="exact"/>
        <w:ind w:left="-10" w:leftChars="0" w:firstLine="640" w:firstLineChars="0"/>
        <w:textAlignment w:val="auto"/>
        <w:rPr>
          <w:rFonts w:ascii="仿宋_GB2312" w:eastAsia="仿宋_GB2312"/>
          <w:sz w:val="32"/>
          <w:szCs w:val="32"/>
          <w:u w:val="none" w:color="auto"/>
        </w:rPr>
      </w:pPr>
      <w:r>
        <w:rPr>
          <w:rFonts w:hint="eastAsia" w:ascii="仿宋_GB2312" w:eastAsia="仿宋_GB2312"/>
          <w:b/>
          <w:bCs/>
          <w:sz w:val="32"/>
          <w:szCs w:val="32"/>
          <w:u w:val="none" w:color="auto"/>
          <w:lang w:val="en-US" w:eastAsia="zh-CN"/>
        </w:rPr>
        <w:t>第四十五条</w:t>
      </w:r>
      <w:r>
        <w:rPr>
          <w:rFonts w:hint="eastAsia" w:ascii="仿宋" w:hAnsi="仿宋" w:eastAsia="仿宋" w:cs="仿宋"/>
          <w:b/>
          <w:kern w:val="2"/>
          <w:sz w:val="32"/>
          <w:szCs w:val="32"/>
          <w:u w:val="none" w:color="auto"/>
          <w:lang w:val="en-US" w:eastAsia="zh-CN" w:bidi="ar-SA"/>
        </w:rPr>
        <w:t xml:space="preserve"> </w:t>
      </w:r>
      <w:r>
        <w:rPr>
          <w:rFonts w:hint="eastAsia" w:ascii="仿宋_GB2312" w:eastAsia="仿宋_GB2312"/>
          <w:sz w:val="32"/>
          <w:szCs w:val="32"/>
          <w:u w:val="none" w:color="auto"/>
        </w:rPr>
        <w:t>学院国有资产清查工作由资产管理处牵头负责，计划财务处和各部门协作。有下列情形之一，应当进行资产清查：</w:t>
      </w:r>
    </w:p>
    <w:p>
      <w:pPr>
        <w:keepNext w:val="0"/>
        <w:keepLines w:val="0"/>
        <w:pageBreakBefore w:val="0"/>
        <w:kinsoku/>
        <w:wordWrap/>
        <w:overflowPunct/>
        <w:topLinePunct w:val="0"/>
        <w:bidi w:val="0"/>
        <w:snapToGrid/>
        <w:spacing w:line="580" w:lineRule="exact"/>
        <w:ind w:firstLine="640" w:firstLineChars="200"/>
        <w:textAlignment w:val="auto"/>
        <w:rPr>
          <w:rFonts w:hint="eastAsia" w:ascii="仿宋_GB2312" w:hAnsi="仿宋" w:eastAsia="仿宋_GB2312"/>
          <w:sz w:val="32"/>
          <w:szCs w:val="20"/>
          <w:u w:val="none" w:color="auto"/>
          <w:lang w:eastAsia="zh-CN"/>
        </w:rPr>
      </w:pPr>
      <w:r>
        <w:rPr>
          <w:rFonts w:ascii="仿宋_GB2312" w:hAnsi="仿宋" w:eastAsia="仿宋_GB2312"/>
          <w:sz w:val="32"/>
          <w:szCs w:val="20"/>
          <w:u w:val="none" w:color="auto"/>
        </w:rPr>
        <w:t>（</w:t>
      </w:r>
      <w:r>
        <w:rPr>
          <w:rFonts w:hint="eastAsia" w:ascii="仿宋_GB2312" w:hAnsi="仿宋" w:eastAsia="仿宋_GB2312"/>
          <w:sz w:val="32"/>
          <w:szCs w:val="20"/>
          <w:u w:val="none" w:color="auto"/>
        </w:rPr>
        <w:t>一</w:t>
      </w:r>
      <w:r>
        <w:rPr>
          <w:rFonts w:ascii="仿宋_GB2312" w:hAnsi="仿宋" w:eastAsia="仿宋_GB2312"/>
          <w:sz w:val="32"/>
          <w:szCs w:val="20"/>
          <w:u w:val="none" w:color="auto"/>
        </w:rPr>
        <w:t>）根据</w:t>
      </w:r>
      <w:r>
        <w:rPr>
          <w:rFonts w:hint="eastAsia" w:ascii="仿宋_GB2312" w:hAnsi="仿宋" w:eastAsia="仿宋_GB2312"/>
          <w:sz w:val="32"/>
          <w:szCs w:val="20"/>
          <w:u w:val="none" w:color="auto"/>
        </w:rPr>
        <w:t>国家及上级主管部门</w:t>
      </w:r>
      <w:r>
        <w:rPr>
          <w:rFonts w:ascii="仿宋_GB2312" w:hAnsi="仿宋" w:eastAsia="仿宋_GB2312"/>
          <w:sz w:val="32"/>
          <w:szCs w:val="20"/>
          <w:u w:val="none" w:color="auto"/>
        </w:rPr>
        <w:t>部署要求</w:t>
      </w:r>
      <w:r>
        <w:rPr>
          <w:rFonts w:hint="eastAsia" w:ascii="仿宋_GB2312" w:hAnsi="仿宋" w:eastAsia="仿宋_GB2312"/>
          <w:sz w:val="32"/>
          <w:szCs w:val="20"/>
          <w:u w:val="none" w:color="auto"/>
        </w:rPr>
        <w:t>的</w:t>
      </w:r>
      <w:r>
        <w:rPr>
          <w:rFonts w:hint="eastAsia" w:ascii="仿宋_GB2312" w:hAnsi="仿宋" w:eastAsia="仿宋_GB2312"/>
          <w:sz w:val="32"/>
          <w:szCs w:val="20"/>
          <w:u w:val="none" w:color="auto"/>
          <w:lang w:eastAsia="zh-CN"/>
        </w:rPr>
        <w:t>；</w:t>
      </w:r>
    </w:p>
    <w:p>
      <w:pPr>
        <w:keepNext w:val="0"/>
        <w:keepLines w:val="0"/>
        <w:pageBreakBefore w:val="0"/>
        <w:kinsoku/>
        <w:wordWrap/>
        <w:overflowPunct/>
        <w:topLinePunct w:val="0"/>
        <w:bidi w:val="0"/>
        <w:snapToGrid/>
        <w:spacing w:line="580" w:lineRule="exact"/>
        <w:ind w:firstLine="640" w:firstLineChars="200"/>
        <w:textAlignment w:val="auto"/>
        <w:rPr>
          <w:rFonts w:hint="eastAsia" w:ascii="仿宋_GB2312" w:hAnsi="仿宋" w:eastAsia="仿宋_GB2312"/>
          <w:sz w:val="32"/>
          <w:szCs w:val="20"/>
          <w:u w:val="none" w:color="auto"/>
          <w:lang w:eastAsia="zh-CN"/>
        </w:rPr>
      </w:pPr>
      <w:r>
        <w:rPr>
          <w:rFonts w:ascii="仿宋_GB2312" w:hAnsi="仿宋" w:eastAsia="仿宋_GB2312"/>
          <w:sz w:val="32"/>
          <w:szCs w:val="20"/>
          <w:u w:val="none" w:color="auto"/>
        </w:rPr>
        <w:t>（</w:t>
      </w:r>
      <w:r>
        <w:rPr>
          <w:rFonts w:hint="eastAsia" w:ascii="仿宋_GB2312" w:hAnsi="仿宋" w:eastAsia="仿宋_GB2312"/>
          <w:sz w:val="32"/>
          <w:szCs w:val="20"/>
          <w:u w:val="none" w:color="auto"/>
        </w:rPr>
        <w:t>二</w:t>
      </w:r>
      <w:r>
        <w:rPr>
          <w:rFonts w:ascii="仿宋_GB2312" w:hAnsi="仿宋" w:eastAsia="仿宋_GB2312"/>
          <w:sz w:val="32"/>
          <w:szCs w:val="20"/>
          <w:u w:val="none" w:color="auto"/>
        </w:rPr>
        <w:t>）发生重大资产调拨、划转以及单位分立、合并、改制、撤销、隶属关系改变等情形</w:t>
      </w:r>
      <w:r>
        <w:rPr>
          <w:rFonts w:hint="eastAsia" w:ascii="仿宋_GB2312" w:hAnsi="仿宋" w:eastAsia="仿宋_GB2312"/>
          <w:sz w:val="32"/>
          <w:szCs w:val="20"/>
          <w:u w:val="none" w:color="auto"/>
        </w:rPr>
        <w:t>的</w:t>
      </w:r>
      <w:r>
        <w:rPr>
          <w:rFonts w:hint="eastAsia" w:ascii="仿宋_GB2312" w:hAnsi="仿宋" w:eastAsia="仿宋_GB2312"/>
          <w:sz w:val="32"/>
          <w:szCs w:val="20"/>
          <w:u w:val="none" w:color="auto"/>
          <w:lang w:eastAsia="zh-CN"/>
        </w:rPr>
        <w:t>；</w:t>
      </w:r>
    </w:p>
    <w:p>
      <w:pPr>
        <w:keepNext w:val="0"/>
        <w:keepLines w:val="0"/>
        <w:pageBreakBefore w:val="0"/>
        <w:kinsoku/>
        <w:wordWrap/>
        <w:overflowPunct/>
        <w:topLinePunct w:val="0"/>
        <w:bidi w:val="0"/>
        <w:snapToGrid/>
        <w:spacing w:line="580" w:lineRule="exact"/>
        <w:ind w:firstLine="640" w:firstLineChars="200"/>
        <w:textAlignment w:val="auto"/>
        <w:rPr>
          <w:rFonts w:hint="eastAsia" w:ascii="仿宋_GB2312" w:hAnsi="仿宋" w:eastAsia="仿宋_GB2312"/>
          <w:sz w:val="32"/>
          <w:szCs w:val="20"/>
          <w:u w:val="none" w:color="auto"/>
          <w:lang w:eastAsia="zh-CN"/>
        </w:rPr>
      </w:pPr>
      <w:r>
        <w:rPr>
          <w:rFonts w:ascii="仿宋_GB2312" w:hAnsi="仿宋" w:eastAsia="仿宋_GB2312"/>
          <w:sz w:val="32"/>
          <w:szCs w:val="20"/>
          <w:u w:val="none" w:color="auto"/>
        </w:rPr>
        <w:t>（</w:t>
      </w:r>
      <w:r>
        <w:rPr>
          <w:rFonts w:hint="eastAsia" w:ascii="仿宋_GB2312" w:hAnsi="仿宋" w:eastAsia="仿宋_GB2312"/>
          <w:sz w:val="32"/>
          <w:szCs w:val="20"/>
          <w:u w:val="none" w:color="auto"/>
        </w:rPr>
        <w:t>三</w:t>
      </w:r>
      <w:r>
        <w:rPr>
          <w:rFonts w:ascii="仿宋_GB2312" w:hAnsi="仿宋" w:eastAsia="仿宋_GB2312"/>
          <w:sz w:val="32"/>
          <w:szCs w:val="20"/>
          <w:u w:val="none" w:color="auto"/>
        </w:rPr>
        <w:t>）因自然灾害等不可抗力造成资产毁损、灭失</w:t>
      </w:r>
      <w:r>
        <w:rPr>
          <w:rFonts w:hint="eastAsia" w:ascii="仿宋_GB2312" w:hAnsi="仿宋" w:eastAsia="仿宋_GB2312"/>
          <w:sz w:val="32"/>
          <w:szCs w:val="20"/>
          <w:u w:val="none" w:color="auto"/>
        </w:rPr>
        <w:t>的</w:t>
      </w:r>
      <w:r>
        <w:rPr>
          <w:rFonts w:hint="eastAsia" w:ascii="仿宋_GB2312" w:hAnsi="仿宋" w:eastAsia="仿宋_GB2312"/>
          <w:sz w:val="32"/>
          <w:szCs w:val="20"/>
          <w:u w:val="none" w:color="auto"/>
          <w:lang w:eastAsia="zh-CN"/>
        </w:rPr>
        <w:t>；</w:t>
      </w:r>
    </w:p>
    <w:p>
      <w:pPr>
        <w:keepNext w:val="0"/>
        <w:keepLines w:val="0"/>
        <w:pageBreakBefore w:val="0"/>
        <w:kinsoku/>
        <w:wordWrap/>
        <w:overflowPunct/>
        <w:topLinePunct w:val="0"/>
        <w:bidi w:val="0"/>
        <w:snapToGrid/>
        <w:spacing w:line="580" w:lineRule="exact"/>
        <w:ind w:firstLine="640" w:firstLineChars="200"/>
        <w:textAlignment w:val="auto"/>
        <w:rPr>
          <w:rFonts w:hint="eastAsia" w:ascii="仿宋_GB2312" w:hAnsi="仿宋" w:eastAsia="仿宋_GB2312"/>
          <w:sz w:val="32"/>
          <w:szCs w:val="20"/>
          <w:u w:val="none" w:color="auto"/>
          <w:lang w:eastAsia="zh-CN"/>
        </w:rPr>
      </w:pPr>
      <w:r>
        <w:rPr>
          <w:rFonts w:ascii="仿宋_GB2312" w:hAnsi="仿宋" w:eastAsia="仿宋_GB2312"/>
          <w:sz w:val="32"/>
          <w:szCs w:val="20"/>
          <w:u w:val="none" w:color="auto"/>
        </w:rPr>
        <w:t>（</w:t>
      </w:r>
      <w:r>
        <w:rPr>
          <w:rFonts w:hint="eastAsia" w:ascii="仿宋_GB2312" w:hAnsi="仿宋" w:eastAsia="仿宋_GB2312"/>
          <w:sz w:val="32"/>
          <w:szCs w:val="20"/>
          <w:u w:val="none" w:color="auto"/>
        </w:rPr>
        <w:t>四</w:t>
      </w:r>
      <w:r>
        <w:rPr>
          <w:rFonts w:ascii="仿宋_GB2312" w:hAnsi="仿宋" w:eastAsia="仿宋_GB2312"/>
          <w:sz w:val="32"/>
          <w:szCs w:val="20"/>
          <w:u w:val="none" w:color="auto"/>
        </w:rPr>
        <w:t>）会计信息严重失真</w:t>
      </w:r>
      <w:r>
        <w:rPr>
          <w:rFonts w:hint="eastAsia" w:ascii="仿宋_GB2312" w:hAnsi="仿宋" w:eastAsia="仿宋_GB2312"/>
          <w:sz w:val="32"/>
          <w:szCs w:val="20"/>
          <w:u w:val="none" w:color="auto"/>
        </w:rPr>
        <w:t>的</w:t>
      </w:r>
      <w:r>
        <w:rPr>
          <w:rFonts w:hint="eastAsia" w:ascii="仿宋_GB2312" w:hAnsi="仿宋" w:eastAsia="仿宋_GB2312"/>
          <w:sz w:val="32"/>
          <w:szCs w:val="20"/>
          <w:u w:val="none" w:color="auto"/>
          <w:lang w:eastAsia="zh-CN"/>
        </w:rPr>
        <w:t>；</w:t>
      </w:r>
    </w:p>
    <w:p>
      <w:pPr>
        <w:keepNext w:val="0"/>
        <w:keepLines w:val="0"/>
        <w:pageBreakBefore w:val="0"/>
        <w:kinsoku/>
        <w:wordWrap/>
        <w:overflowPunct/>
        <w:topLinePunct w:val="0"/>
        <w:bidi w:val="0"/>
        <w:snapToGrid/>
        <w:spacing w:line="580" w:lineRule="exact"/>
        <w:ind w:firstLine="640" w:firstLineChars="200"/>
        <w:textAlignment w:val="auto"/>
        <w:rPr>
          <w:rFonts w:hint="eastAsia" w:ascii="仿宋_GB2312" w:hAnsi="仿宋" w:eastAsia="仿宋_GB2312"/>
          <w:sz w:val="32"/>
          <w:szCs w:val="20"/>
          <w:u w:val="none" w:color="auto"/>
          <w:lang w:eastAsia="zh-CN"/>
        </w:rPr>
      </w:pPr>
      <w:r>
        <w:rPr>
          <w:rFonts w:ascii="仿宋_GB2312" w:hAnsi="仿宋" w:eastAsia="仿宋_GB2312"/>
          <w:sz w:val="32"/>
          <w:szCs w:val="20"/>
          <w:u w:val="none" w:color="auto"/>
        </w:rPr>
        <w:t>（</w:t>
      </w:r>
      <w:r>
        <w:rPr>
          <w:rFonts w:hint="eastAsia" w:ascii="仿宋_GB2312" w:hAnsi="仿宋" w:eastAsia="仿宋_GB2312"/>
          <w:sz w:val="32"/>
          <w:szCs w:val="20"/>
          <w:u w:val="none" w:color="auto"/>
        </w:rPr>
        <w:t>五</w:t>
      </w:r>
      <w:r>
        <w:rPr>
          <w:rFonts w:ascii="仿宋_GB2312" w:hAnsi="仿宋" w:eastAsia="仿宋_GB2312"/>
          <w:sz w:val="32"/>
          <w:szCs w:val="20"/>
          <w:u w:val="none" w:color="auto"/>
        </w:rPr>
        <w:t>）会计制度发生重大变更，涉及资产核算方法发生重大变化</w:t>
      </w:r>
      <w:r>
        <w:rPr>
          <w:rFonts w:hint="eastAsia" w:ascii="仿宋_GB2312" w:hAnsi="仿宋" w:eastAsia="仿宋_GB2312"/>
          <w:sz w:val="32"/>
          <w:szCs w:val="20"/>
          <w:u w:val="none" w:color="auto"/>
        </w:rPr>
        <w:t>的</w:t>
      </w:r>
      <w:r>
        <w:rPr>
          <w:rFonts w:hint="eastAsia" w:ascii="仿宋_GB2312" w:hAnsi="仿宋" w:eastAsia="仿宋_GB2312"/>
          <w:sz w:val="32"/>
          <w:szCs w:val="20"/>
          <w:u w:val="none" w:color="auto"/>
          <w:lang w:eastAsia="zh-CN"/>
        </w:rPr>
        <w:t>；</w:t>
      </w:r>
    </w:p>
    <w:p>
      <w:pPr>
        <w:keepNext w:val="0"/>
        <w:keepLines w:val="0"/>
        <w:pageBreakBefore w:val="0"/>
        <w:kinsoku/>
        <w:wordWrap/>
        <w:overflowPunct/>
        <w:topLinePunct w:val="0"/>
        <w:bidi w:val="0"/>
        <w:snapToGrid/>
        <w:spacing w:line="580" w:lineRule="exact"/>
        <w:ind w:firstLine="640" w:firstLineChars="200"/>
        <w:textAlignment w:val="auto"/>
        <w:rPr>
          <w:rFonts w:ascii="仿宋_GB2312" w:hAnsi="仿宋" w:eastAsia="仿宋_GB2312"/>
          <w:sz w:val="32"/>
          <w:szCs w:val="20"/>
          <w:u w:val="none" w:color="auto"/>
        </w:rPr>
      </w:pPr>
      <w:r>
        <w:rPr>
          <w:rFonts w:ascii="仿宋_GB2312" w:hAnsi="仿宋" w:eastAsia="仿宋_GB2312"/>
          <w:sz w:val="32"/>
          <w:szCs w:val="20"/>
          <w:u w:val="none" w:color="auto"/>
        </w:rPr>
        <w:t>（</w:t>
      </w:r>
      <w:r>
        <w:rPr>
          <w:rFonts w:hint="eastAsia" w:ascii="仿宋_GB2312" w:hAnsi="仿宋" w:eastAsia="仿宋_GB2312"/>
          <w:sz w:val="32"/>
          <w:szCs w:val="20"/>
          <w:u w:val="none" w:color="auto"/>
        </w:rPr>
        <w:t>六</w:t>
      </w:r>
      <w:r>
        <w:rPr>
          <w:rFonts w:ascii="仿宋_GB2312" w:hAnsi="仿宋" w:eastAsia="仿宋_GB2312"/>
          <w:sz w:val="32"/>
          <w:szCs w:val="20"/>
          <w:u w:val="none" w:color="auto"/>
        </w:rPr>
        <w:t>）其他应当进行资产清查的情形。</w:t>
      </w:r>
    </w:p>
    <w:p>
      <w:pPr>
        <w:keepNext w:val="0"/>
        <w:keepLines w:val="0"/>
        <w:pageBreakBefore w:val="0"/>
        <w:kinsoku/>
        <w:wordWrap/>
        <w:overflowPunct/>
        <w:topLinePunct w:val="0"/>
        <w:bidi w:val="0"/>
        <w:snapToGrid/>
        <w:spacing w:line="580" w:lineRule="exact"/>
        <w:ind w:firstLine="640" w:firstLineChars="200"/>
        <w:textAlignment w:val="auto"/>
        <w:rPr>
          <w:rFonts w:hint="eastAsia" w:ascii="仿宋_GB2312" w:hAnsi="仿宋" w:eastAsia="仿宋_GB2312"/>
          <w:sz w:val="32"/>
          <w:szCs w:val="20"/>
          <w:u w:val="none" w:color="auto"/>
          <w:lang w:eastAsia="zh-CN"/>
        </w:rPr>
      </w:pPr>
      <w:r>
        <w:rPr>
          <w:rFonts w:hint="eastAsia" w:ascii="仿宋_GB2312" w:hAnsi="仿宋" w:eastAsia="仿宋_GB2312"/>
          <w:sz w:val="32"/>
          <w:szCs w:val="20"/>
          <w:u w:val="none" w:color="auto"/>
          <w:lang w:eastAsia="zh-CN"/>
        </w:rPr>
        <w:t>资产清查内容主要包括基本情况清理、账务清理、财产清查和完善制度等。</w:t>
      </w:r>
    </w:p>
    <w:p>
      <w:pPr>
        <w:keepNext w:val="0"/>
        <w:keepLines w:val="0"/>
        <w:pageBreakBefore w:val="0"/>
        <w:numPr>
          <w:ilvl w:val="0"/>
          <w:numId w:val="0"/>
        </w:numPr>
        <w:tabs>
          <w:tab w:val="left" w:pos="0"/>
        </w:tabs>
        <w:kinsoku/>
        <w:wordWrap/>
        <w:overflowPunct/>
        <w:topLinePunct w:val="0"/>
        <w:bidi w:val="0"/>
        <w:snapToGrid/>
        <w:spacing w:line="580" w:lineRule="exact"/>
        <w:ind w:left="-10" w:leftChars="0" w:firstLine="640" w:firstLineChars="0"/>
        <w:textAlignment w:val="auto"/>
        <w:rPr>
          <w:rFonts w:hint="eastAsia" w:ascii="仿宋_GB2312" w:hAnsi="仿宋" w:eastAsia="仿宋_GB2312"/>
          <w:sz w:val="32"/>
          <w:szCs w:val="20"/>
          <w:u w:val="none" w:color="auto"/>
        </w:rPr>
      </w:pPr>
      <w:r>
        <w:rPr>
          <w:rFonts w:hint="eastAsia" w:ascii="仿宋_GB2312" w:eastAsia="仿宋_GB2312"/>
          <w:b/>
          <w:bCs/>
          <w:sz w:val="32"/>
          <w:szCs w:val="32"/>
          <w:u w:val="none" w:color="auto"/>
          <w:lang w:val="en-US" w:eastAsia="zh-CN"/>
        </w:rPr>
        <w:t>第四十六条</w:t>
      </w:r>
      <w:r>
        <w:rPr>
          <w:rFonts w:hint="eastAsia" w:ascii="仿宋" w:hAnsi="仿宋" w:eastAsia="仿宋" w:cs="仿宋"/>
          <w:b/>
          <w:kern w:val="2"/>
          <w:sz w:val="32"/>
          <w:szCs w:val="32"/>
          <w:u w:val="none" w:color="auto"/>
          <w:lang w:val="en-US" w:eastAsia="zh-CN" w:bidi="ar-SA"/>
        </w:rPr>
        <w:t xml:space="preserve"> </w:t>
      </w:r>
      <w:r>
        <w:rPr>
          <w:rFonts w:hint="eastAsia" w:ascii="仿宋_GB2312" w:hAnsi="仿宋" w:eastAsia="仿宋_GB2312"/>
          <w:sz w:val="32"/>
          <w:szCs w:val="20"/>
          <w:u w:val="none" w:color="auto"/>
          <w:lang w:val="en-US" w:eastAsia="zh-CN"/>
        </w:rPr>
        <w:t>学院在资产清查中发现账实不符、账账不符的，应当查明原因予以说明，收集相关证明材料，</w:t>
      </w:r>
      <w:r>
        <w:rPr>
          <w:rFonts w:hint="eastAsia" w:ascii="仿宋_GB2312" w:hAnsi="仿宋" w:eastAsia="仿宋_GB2312"/>
          <w:sz w:val="32"/>
          <w:szCs w:val="20"/>
          <w:u w:val="none" w:color="auto"/>
        </w:rPr>
        <w:t>并随同</w:t>
      </w:r>
      <w:r>
        <w:rPr>
          <w:rFonts w:hint="eastAsia" w:ascii="仿宋_GB2312" w:hAnsi="仿宋" w:eastAsia="仿宋_GB2312"/>
          <w:sz w:val="32"/>
          <w:szCs w:val="20"/>
          <w:u w:val="none" w:color="auto"/>
          <w:lang w:eastAsia="zh-CN"/>
        </w:rPr>
        <w:t>盘点</w:t>
      </w:r>
      <w:r>
        <w:rPr>
          <w:rFonts w:hint="eastAsia" w:ascii="仿宋_GB2312" w:hAnsi="仿宋" w:eastAsia="仿宋_GB2312"/>
          <w:sz w:val="32"/>
          <w:szCs w:val="20"/>
          <w:u w:val="none" w:color="auto"/>
        </w:rPr>
        <w:t>结果一并履行审批程序，根据批复结果及时调整资产</w:t>
      </w:r>
      <w:r>
        <w:rPr>
          <w:rFonts w:hint="eastAsia" w:ascii="仿宋_GB2312" w:hAnsi="仿宋" w:eastAsia="仿宋_GB2312"/>
          <w:sz w:val="32"/>
          <w:szCs w:val="20"/>
          <w:u w:val="none" w:color="auto"/>
          <w:lang w:eastAsia="zh-CN"/>
        </w:rPr>
        <w:t>台账信息</w:t>
      </w:r>
      <w:r>
        <w:rPr>
          <w:rFonts w:hint="eastAsia" w:ascii="仿宋_GB2312" w:hAnsi="仿宋" w:eastAsia="仿宋_GB2312"/>
          <w:sz w:val="32"/>
          <w:szCs w:val="20"/>
          <w:u w:val="none" w:color="auto"/>
        </w:rPr>
        <w:t>，同时进行会计处理。具体处理方法按照《行政事业单位资产清查核实管理办法》（财资〔2016〕1号）有关规定执行。</w:t>
      </w:r>
    </w:p>
    <w:p>
      <w:pPr>
        <w:keepNext w:val="0"/>
        <w:keepLines w:val="0"/>
        <w:pageBreakBefore w:val="0"/>
        <w:numPr>
          <w:ilvl w:val="0"/>
          <w:numId w:val="0"/>
        </w:numPr>
        <w:tabs>
          <w:tab w:val="left" w:pos="0"/>
        </w:tabs>
        <w:kinsoku/>
        <w:wordWrap/>
        <w:overflowPunct/>
        <w:topLinePunct w:val="0"/>
        <w:bidi w:val="0"/>
        <w:snapToGrid/>
        <w:spacing w:line="580" w:lineRule="exact"/>
        <w:ind w:left="-10" w:leftChars="0" w:firstLine="640" w:firstLineChars="0"/>
        <w:textAlignment w:val="auto"/>
        <w:rPr>
          <w:rFonts w:hint="eastAsia" w:ascii="仿宋_GB2312" w:eastAsia="仿宋_GB2312"/>
          <w:sz w:val="32"/>
          <w:szCs w:val="32"/>
          <w:u w:val="none" w:color="auto"/>
          <w:lang w:eastAsia="zh-CN"/>
        </w:rPr>
      </w:pPr>
      <w:r>
        <w:rPr>
          <w:rFonts w:hint="eastAsia" w:ascii="仿宋_GB2312" w:eastAsia="仿宋_GB2312"/>
          <w:b/>
          <w:bCs/>
          <w:sz w:val="32"/>
          <w:szCs w:val="32"/>
          <w:u w:val="none" w:color="auto"/>
          <w:lang w:val="en-US" w:eastAsia="zh-CN"/>
        </w:rPr>
        <w:t xml:space="preserve">第四十七条 </w:t>
      </w:r>
      <w:r>
        <w:rPr>
          <w:rFonts w:hint="eastAsia" w:ascii="仿宋_GB2312" w:eastAsia="仿宋_GB2312"/>
          <w:sz w:val="32"/>
          <w:szCs w:val="32"/>
          <w:u w:val="none" w:color="auto"/>
        </w:rPr>
        <w:t>各部门和个人不得以任何形式干预资产评估机构独立执业。有下列情形之一的，</w:t>
      </w:r>
      <w:r>
        <w:rPr>
          <w:rFonts w:hint="eastAsia" w:ascii="仿宋_GB2312" w:eastAsia="仿宋_GB2312"/>
          <w:sz w:val="32"/>
          <w:szCs w:val="32"/>
          <w:u w:val="none" w:color="auto"/>
          <w:lang w:val="en-US" w:eastAsia="zh-CN"/>
        </w:rPr>
        <w:t>由资产管理处委托具有资产评估资质的评估机构对相关资产进行评估：</w:t>
      </w:r>
    </w:p>
    <w:p>
      <w:pPr>
        <w:keepNext w:val="0"/>
        <w:keepLines w:val="0"/>
        <w:pageBreakBefore w:val="0"/>
        <w:kinsoku/>
        <w:wordWrap/>
        <w:overflowPunct/>
        <w:topLinePunct w:val="0"/>
        <w:bidi w:val="0"/>
        <w:snapToGrid/>
        <w:spacing w:line="580" w:lineRule="exact"/>
        <w:ind w:firstLine="640" w:firstLineChars="200"/>
        <w:textAlignment w:val="auto"/>
        <w:rPr>
          <w:rFonts w:ascii="仿宋_GB2312" w:hAnsi="仿宋" w:eastAsia="仿宋_GB2312"/>
          <w:sz w:val="32"/>
          <w:szCs w:val="20"/>
          <w:u w:val="none" w:color="auto"/>
        </w:rPr>
      </w:pPr>
      <w:r>
        <w:rPr>
          <w:rFonts w:hint="eastAsia" w:ascii="仿宋_GB2312" w:hAnsi="仿宋" w:eastAsia="仿宋_GB2312"/>
          <w:sz w:val="32"/>
          <w:szCs w:val="20"/>
          <w:u w:val="none" w:color="auto"/>
        </w:rPr>
        <w:t>（一）整体或者部分改制为企业；</w:t>
      </w:r>
    </w:p>
    <w:p>
      <w:pPr>
        <w:keepNext w:val="0"/>
        <w:keepLines w:val="0"/>
        <w:pageBreakBefore w:val="0"/>
        <w:kinsoku/>
        <w:wordWrap/>
        <w:overflowPunct/>
        <w:topLinePunct w:val="0"/>
        <w:bidi w:val="0"/>
        <w:snapToGrid/>
        <w:spacing w:line="580" w:lineRule="exact"/>
        <w:ind w:firstLine="640" w:firstLineChars="200"/>
        <w:textAlignment w:val="auto"/>
        <w:rPr>
          <w:rFonts w:ascii="仿宋_GB2312" w:hAnsi="仿宋" w:eastAsia="仿宋_GB2312"/>
          <w:sz w:val="32"/>
          <w:szCs w:val="20"/>
          <w:u w:val="none" w:color="auto"/>
        </w:rPr>
      </w:pPr>
      <w:r>
        <w:rPr>
          <w:rFonts w:hint="eastAsia" w:ascii="仿宋_GB2312" w:hAnsi="仿宋" w:eastAsia="仿宋_GB2312"/>
          <w:sz w:val="32"/>
          <w:szCs w:val="20"/>
          <w:u w:val="none" w:color="auto"/>
        </w:rPr>
        <w:t>（二）以非货币性资产对外投资；</w:t>
      </w:r>
    </w:p>
    <w:p>
      <w:pPr>
        <w:keepNext w:val="0"/>
        <w:keepLines w:val="0"/>
        <w:pageBreakBefore w:val="0"/>
        <w:kinsoku/>
        <w:wordWrap/>
        <w:overflowPunct/>
        <w:topLinePunct w:val="0"/>
        <w:bidi w:val="0"/>
        <w:snapToGrid/>
        <w:spacing w:line="580" w:lineRule="exact"/>
        <w:ind w:firstLine="640" w:firstLineChars="200"/>
        <w:textAlignment w:val="auto"/>
        <w:rPr>
          <w:rFonts w:ascii="仿宋_GB2312" w:hAnsi="仿宋" w:eastAsia="仿宋_GB2312"/>
          <w:sz w:val="32"/>
          <w:szCs w:val="20"/>
          <w:u w:val="none" w:color="auto"/>
        </w:rPr>
      </w:pPr>
      <w:r>
        <w:rPr>
          <w:rFonts w:hint="eastAsia" w:ascii="仿宋_GB2312" w:hAnsi="仿宋" w:eastAsia="仿宋_GB2312"/>
          <w:sz w:val="32"/>
          <w:szCs w:val="20"/>
          <w:u w:val="none" w:color="auto"/>
        </w:rPr>
        <w:t>（三）</w:t>
      </w:r>
      <w:r>
        <w:rPr>
          <w:rFonts w:hint="eastAsia" w:ascii="仿宋_GB2312" w:hAnsi="仿宋" w:eastAsia="仿宋_GB2312"/>
          <w:sz w:val="32"/>
          <w:szCs w:val="20"/>
          <w:u w:val="none" w:color="auto"/>
          <w:lang w:eastAsia="zh-CN"/>
        </w:rPr>
        <w:t>单位</w:t>
      </w:r>
      <w:r>
        <w:rPr>
          <w:rFonts w:hint="eastAsia" w:ascii="仿宋_GB2312" w:hAnsi="仿宋" w:eastAsia="仿宋_GB2312"/>
          <w:sz w:val="32"/>
          <w:szCs w:val="20"/>
          <w:u w:val="none" w:color="auto"/>
        </w:rPr>
        <w:t>合并、分立、清算；</w:t>
      </w:r>
    </w:p>
    <w:p>
      <w:pPr>
        <w:keepNext w:val="0"/>
        <w:keepLines w:val="0"/>
        <w:pageBreakBefore w:val="0"/>
        <w:kinsoku/>
        <w:wordWrap/>
        <w:overflowPunct/>
        <w:topLinePunct w:val="0"/>
        <w:bidi w:val="0"/>
        <w:snapToGrid/>
        <w:spacing w:line="580" w:lineRule="exact"/>
        <w:ind w:firstLine="640" w:firstLineChars="200"/>
        <w:textAlignment w:val="auto"/>
        <w:rPr>
          <w:rFonts w:ascii="仿宋_GB2312" w:hAnsi="仿宋" w:eastAsia="仿宋_GB2312"/>
          <w:sz w:val="32"/>
          <w:szCs w:val="20"/>
          <w:u w:val="none" w:color="auto"/>
        </w:rPr>
      </w:pPr>
      <w:r>
        <w:rPr>
          <w:rFonts w:hint="eastAsia" w:ascii="仿宋_GB2312" w:hAnsi="仿宋" w:eastAsia="仿宋_GB2312"/>
          <w:sz w:val="32"/>
          <w:szCs w:val="20"/>
          <w:u w:val="none" w:color="auto"/>
        </w:rPr>
        <w:t>（四）资产有偿转让、置换、出售；</w:t>
      </w:r>
    </w:p>
    <w:p>
      <w:pPr>
        <w:keepNext w:val="0"/>
        <w:keepLines w:val="0"/>
        <w:pageBreakBefore w:val="0"/>
        <w:kinsoku/>
        <w:wordWrap/>
        <w:overflowPunct/>
        <w:topLinePunct w:val="0"/>
        <w:bidi w:val="0"/>
        <w:snapToGrid/>
        <w:spacing w:line="580" w:lineRule="exact"/>
        <w:ind w:firstLine="640" w:firstLineChars="200"/>
        <w:textAlignment w:val="auto"/>
        <w:rPr>
          <w:rFonts w:ascii="仿宋_GB2312" w:hAnsi="仿宋" w:eastAsia="仿宋_GB2312"/>
          <w:sz w:val="32"/>
          <w:szCs w:val="20"/>
          <w:u w:val="none" w:color="auto"/>
        </w:rPr>
      </w:pPr>
      <w:r>
        <w:rPr>
          <w:rFonts w:hint="eastAsia" w:ascii="仿宋_GB2312" w:hAnsi="仿宋" w:eastAsia="仿宋_GB2312"/>
          <w:sz w:val="32"/>
          <w:szCs w:val="20"/>
          <w:u w:val="none" w:color="auto"/>
        </w:rPr>
        <w:t>（五）资产整体或者部分出租给非国有单位；</w:t>
      </w:r>
    </w:p>
    <w:p>
      <w:pPr>
        <w:keepNext w:val="0"/>
        <w:keepLines w:val="0"/>
        <w:pageBreakBefore w:val="0"/>
        <w:kinsoku/>
        <w:wordWrap/>
        <w:overflowPunct/>
        <w:topLinePunct w:val="0"/>
        <w:bidi w:val="0"/>
        <w:snapToGrid/>
        <w:spacing w:line="580" w:lineRule="exact"/>
        <w:ind w:firstLine="640" w:firstLineChars="200"/>
        <w:textAlignment w:val="auto"/>
        <w:rPr>
          <w:rFonts w:ascii="仿宋_GB2312" w:hAnsi="仿宋" w:eastAsia="仿宋_GB2312"/>
          <w:sz w:val="32"/>
          <w:szCs w:val="20"/>
          <w:u w:val="none" w:color="auto"/>
        </w:rPr>
      </w:pPr>
      <w:r>
        <w:rPr>
          <w:rFonts w:hint="eastAsia" w:ascii="仿宋_GB2312" w:hAnsi="仿宋" w:eastAsia="仿宋_GB2312"/>
          <w:sz w:val="32"/>
          <w:szCs w:val="20"/>
          <w:u w:val="none" w:color="auto"/>
        </w:rPr>
        <w:t>（六）确定涉讼资产价值；</w:t>
      </w:r>
    </w:p>
    <w:p>
      <w:pPr>
        <w:keepNext w:val="0"/>
        <w:keepLines w:val="0"/>
        <w:pageBreakBefore w:val="0"/>
        <w:kinsoku/>
        <w:wordWrap/>
        <w:overflowPunct/>
        <w:topLinePunct w:val="0"/>
        <w:bidi w:val="0"/>
        <w:snapToGrid/>
        <w:spacing w:line="580" w:lineRule="exact"/>
        <w:ind w:firstLine="640" w:firstLineChars="200"/>
        <w:textAlignment w:val="auto"/>
        <w:rPr>
          <w:rFonts w:ascii="仿宋_GB2312" w:hAnsi="仿宋" w:eastAsia="仿宋_GB2312"/>
          <w:sz w:val="32"/>
          <w:szCs w:val="20"/>
          <w:u w:val="none" w:color="auto"/>
        </w:rPr>
      </w:pPr>
      <w:r>
        <w:rPr>
          <w:rFonts w:hint="eastAsia" w:ascii="仿宋_GB2312" w:hAnsi="仿宋" w:eastAsia="仿宋_GB2312"/>
          <w:sz w:val="32"/>
          <w:szCs w:val="20"/>
          <w:u w:val="none" w:color="auto"/>
        </w:rPr>
        <w:t>（七）依照规定需要进行资产评估的其他情形。</w:t>
      </w:r>
    </w:p>
    <w:p>
      <w:pPr>
        <w:keepNext w:val="0"/>
        <w:keepLines w:val="0"/>
        <w:pageBreakBefore w:val="0"/>
        <w:numPr>
          <w:ilvl w:val="0"/>
          <w:numId w:val="0"/>
        </w:numPr>
        <w:tabs>
          <w:tab w:val="left" w:pos="0"/>
        </w:tabs>
        <w:kinsoku/>
        <w:wordWrap/>
        <w:overflowPunct/>
        <w:topLinePunct w:val="0"/>
        <w:bidi w:val="0"/>
        <w:snapToGrid/>
        <w:spacing w:line="580" w:lineRule="exact"/>
        <w:ind w:left="-10" w:leftChars="0" w:firstLine="640" w:firstLineChars="0"/>
        <w:textAlignment w:val="auto"/>
        <w:rPr>
          <w:rFonts w:hint="default" w:ascii="仿宋_GB2312" w:eastAsia="仿宋_GB2312"/>
          <w:b/>
          <w:bCs/>
          <w:sz w:val="32"/>
          <w:szCs w:val="32"/>
          <w:u w:val="none" w:color="auto"/>
          <w:lang w:val="en-US" w:eastAsia="zh-CN"/>
        </w:rPr>
      </w:pPr>
      <w:r>
        <w:rPr>
          <w:rFonts w:hint="eastAsia" w:ascii="仿宋_GB2312" w:eastAsia="仿宋_GB2312"/>
          <w:b/>
          <w:bCs/>
          <w:sz w:val="32"/>
          <w:szCs w:val="32"/>
          <w:u w:val="none" w:color="auto"/>
          <w:lang w:val="en-US" w:eastAsia="zh-CN"/>
        </w:rPr>
        <w:t xml:space="preserve">第四十八条 </w:t>
      </w:r>
      <w:r>
        <w:rPr>
          <w:rFonts w:hint="eastAsia" w:ascii="仿宋_GB2312" w:eastAsia="仿宋_GB2312"/>
          <w:sz w:val="32"/>
          <w:szCs w:val="32"/>
          <w:u w:val="none" w:color="auto"/>
        </w:rPr>
        <w:t>学院应当加强资产权属管理，依法及时办理房屋、土地等重点资产的权属登记。对有账簿记录但权证手续不全的国有资产，可以向有关主管部门提出确认资产权属申请，及时办理权属登记。资产变动应及时办理权证变更登记，避免权属不清。</w:t>
      </w:r>
    </w:p>
    <w:p>
      <w:pPr>
        <w:keepNext w:val="0"/>
        <w:keepLines w:val="0"/>
        <w:pageBreakBefore w:val="0"/>
        <w:numPr>
          <w:ilvl w:val="0"/>
          <w:numId w:val="0"/>
        </w:numPr>
        <w:tabs>
          <w:tab w:val="left" w:pos="0"/>
        </w:tabs>
        <w:kinsoku/>
        <w:wordWrap/>
        <w:overflowPunct/>
        <w:topLinePunct w:val="0"/>
        <w:bidi w:val="0"/>
        <w:snapToGrid/>
        <w:spacing w:line="580" w:lineRule="exact"/>
        <w:ind w:left="-10" w:leftChars="0" w:firstLine="640" w:firstLineChars="0"/>
        <w:textAlignment w:val="auto"/>
        <w:rPr>
          <w:rFonts w:hint="eastAsia" w:ascii="仿宋_GB2312" w:eastAsia="仿宋_GB2312"/>
          <w:sz w:val="32"/>
          <w:szCs w:val="32"/>
          <w:u w:val="none" w:color="auto"/>
        </w:rPr>
      </w:pPr>
      <w:r>
        <w:rPr>
          <w:rFonts w:hint="eastAsia" w:ascii="仿宋_GB2312" w:eastAsia="仿宋_GB2312"/>
          <w:b/>
          <w:bCs/>
          <w:sz w:val="32"/>
          <w:szCs w:val="32"/>
          <w:u w:val="none" w:color="auto"/>
          <w:lang w:val="en-US" w:eastAsia="zh-CN"/>
        </w:rPr>
        <w:t xml:space="preserve">第四十九条 </w:t>
      </w:r>
      <w:r>
        <w:rPr>
          <w:rFonts w:hint="eastAsia" w:ascii="仿宋_GB2312" w:eastAsia="仿宋_GB2312"/>
          <w:sz w:val="32"/>
          <w:szCs w:val="32"/>
          <w:u w:val="none" w:color="auto"/>
        </w:rPr>
        <w:t>学院国有资产配置、使用、处置过程和结果的资料是办理产权变动登记、进行财务会计处理的凭据，应当完整、真实，并纳入学院档案管理。</w:t>
      </w:r>
    </w:p>
    <w:p>
      <w:pPr>
        <w:keepNext w:val="0"/>
        <w:keepLines w:val="0"/>
        <w:pageBreakBefore w:val="0"/>
        <w:widowControl w:val="0"/>
        <w:kinsoku/>
        <w:wordWrap/>
        <w:overflowPunct/>
        <w:topLinePunct w:val="0"/>
        <w:autoSpaceDE/>
        <w:autoSpaceDN/>
        <w:bidi w:val="0"/>
        <w:adjustRightInd/>
        <w:snapToGrid/>
        <w:spacing w:before="0" w:beforeLines="50" w:after="0" w:afterLines="50" w:line="580" w:lineRule="exact"/>
        <w:jc w:val="center"/>
        <w:textAlignment w:val="auto"/>
        <w:outlineLvl w:val="0"/>
        <w:rPr>
          <w:rFonts w:hint="eastAsia" w:ascii="黑体" w:hAnsi="黑体" w:eastAsia="黑体"/>
          <w:sz w:val="32"/>
          <w:szCs w:val="32"/>
          <w:u w:val="none" w:color="auto"/>
        </w:rPr>
      </w:pPr>
      <w:r>
        <w:rPr>
          <w:rFonts w:hint="eastAsia" w:ascii="黑体" w:hAnsi="黑体" w:eastAsia="黑体"/>
          <w:sz w:val="32"/>
          <w:szCs w:val="32"/>
          <w:u w:val="none" w:color="auto"/>
        </w:rPr>
        <w:t>第七章  资产信息管理与报告</w:t>
      </w:r>
    </w:p>
    <w:p>
      <w:pPr>
        <w:keepNext w:val="0"/>
        <w:keepLines w:val="0"/>
        <w:pageBreakBefore w:val="0"/>
        <w:numPr>
          <w:ilvl w:val="0"/>
          <w:numId w:val="0"/>
        </w:numPr>
        <w:tabs>
          <w:tab w:val="left" w:pos="0"/>
        </w:tabs>
        <w:kinsoku/>
        <w:wordWrap/>
        <w:overflowPunct/>
        <w:topLinePunct w:val="0"/>
        <w:bidi w:val="0"/>
        <w:snapToGrid/>
        <w:spacing w:line="580" w:lineRule="exact"/>
        <w:ind w:left="-10" w:leftChars="0" w:firstLine="640" w:firstLineChars="0"/>
        <w:textAlignment w:val="auto"/>
        <w:rPr>
          <w:rFonts w:ascii="仿宋_GB2312" w:eastAsia="仿宋_GB2312"/>
          <w:sz w:val="32"/>
          <w:szCs w:val="32"/>
          <w:u w:val="none" w:color="auto"/>
        </w:rPr>
      </w:pPr>
      <w:r>
        <w:rPr>
          <w:rFonts w:hint="eastAsia" w:ascii="仿宋_GB2312" w:eastAsia="仿宋_GB2312"/>
          <w:b/>
          <w:bCs/>
          <w:sz w:val="32"/>
          <w:szCs w:val="32"/>
          <w:u w:val="none" w:color="auto"/>
          <w:lang w:val="en-US" w:eastAsia="zh-CN"/>
        </w:rPr>
        <w:t xml:space="preserve">第五十条 </w:t>
      </w:r>
      <w:r>
        <w:rPr>
          <w:rFonts w:hint="eastAsia" w:ascii="仿宋_GB2312" w:eastAsia="仿宋_GB2312"/>
          <w:sz w:val="32"/>
          <w:szCs w:val="32"/>
          <w:u w:val="none" w:color="auto"/>
        </w:rPr>
        <w:t>资产管理处负责学院国有资产管理信息化建设，负责</w:t>
      </w:r>
      <w:r>
        <w:rPr>
          <w:rFonts w:hint="eastAsia" w:ascii="仿宋_GB2312" w:eastAsia="仿宋_GB2312"/>
          <w:sz w:val="32"/>
          <w:szCs w:val="32"/>
          <w:u w:val="none" w:color="auto"/>
          <w:lang w:eastAsia="zh-CN"/>
        </w:rPr>
        <w:t>国有</w:t>
      </w:r>
      <w:r>
        <w:rPr>
          <w:rFonts w:hint="eastAsia" w:ascii="仿宋_GB2312" w:eastAsia="仿宋_GB2312"/>
          <w:sz w:val="32"/>
          <w:szCs w:val="32"/>
          <w:u w:val="none" w:color="auto"/>
        </w:rPr>
        <w:t>资产统计数据的填报和上报工作。各部门资产管理员按照</w:t>
      </w:r>
      <w:r>
        <w:rPr>
          <w:rFonts w:hint="eastAsia" w:ascii="仿宋_GB2312" w:eastAsia="仿宋_GB2312"/>
          <w:sz w:val="32"/>
          <w:szCs w:val="32"/>
          <w:u w:val="none" w:color="auto"/>
          <w:lang w:eastAsia="zh-CN"/>
        </w:rPr>
        <w:t>国有</w:t>
      </w:r>
      <w:r>
        <w:rPr>
          <w:rFonts w:hint="eastAsia" w:ascii="仿宋_GB2312" w:eastAsia="仿宋_GB2312"/>
          <w:sz w:val="32"/>
          <w:szCs w:val="32"/>
          <w:u w:val="none" w:color="auto"/>
        </w:rPr>
        <w:t>资产管理要求，对本部门</w:t>
      </w:r>
      <w:r>
        <w:rPr>
          <w:rFonts w:hint="eastAsia" w:ascii="仿宋_GB2312" w:eastAsia="仿宋_GB2312"/>
          <w:sz w:val="32"/>
          <w:szCs w:val="32"/>
          <w:u w:val="none" w:color="auto"/>
          <w:lang w:eastAsia="zh-CN"/>
        </w:rPr>
        <w:t>国有</w:t>
      </w:r>
      <w:r>
        <w:rPr>
          <w:rFonts w:hint="eastAsia" w:ascii="仿宋_GB2312" w:eastAsia="仿宋_GB2312"/>
          <w:sz w:val="32"/>
          <w:szCs w:val="32"/>
          <w:u w:val="none" w:color="auto"/>
        </w:rPr>
        <w:t>资产信息进行及时登记和更新。</w:t>
      </w:r>
    </w:p>
    <w:p>
      <w:pPr>
        <w:keepNext w:val="0"/>
        <w:keepLines w:val="0"/>
        <w:pageBreakBefore w:val="0"/>
        <w:numPr>
          <w:ilvl w:val="0"/>
          <w:numId w:val="0"/>
        </w:numPr>
        <w:tabs>
          <w:tab w:val="left" w:pos="0"/>
        </w:tabs>
        <w:kinsoku/>
        <w:wordWrap/>
        <w:overflowPunct/>
        <w:topLinePunct w:val="0"/>
        <w:bidi w:val="0"/>
        <w:snapToGrid/>
        <w:spacing w:line="580" w:lineRule="exact"/>
        <w:ind w:left="-10" w:leftChars="0" w:firstLine="640" w:firstLineChars="0"/>
        <w:textAlignment w:val="auto"/>
        <w:rPr>
          <w:rFonts w:ascii="仿宋_GB2312" w:eastAsia="仿宋_GB2312"/>
          <w:sz w:val="32"/>
          <w:szCs w:val="32"/>
          <w:highlight w:val="none"/>
          <w:u w:val="none" w:color="auto"/>
        </w:rPr>
      </w:pPr>
      <w:r>
        <w:rPr>
          <w:rFonts w:hint="eastAsia" w:ascii="仿宋_GB2312" w:eastAsia="仿宋_GB2312"/>
          <w:b/>
          <w:bCs/>
          <w:sz w:val="32"/>
          <w:szCs w:val="32"/>
          <w:u w:val="none" w:color="auto"/>
          <w:lang w:val="en-US" w:eastAsia="zh-CN"/>
        </w:rPr>
        <w:t xml:space="preserve">第五十一条 </w:t>
      </w:r>
      <w:r>
        <w:rPr>
          <w:rFonts w:hint="eastAsia" w:ascii="仿宋_GB2312" w:eastAsia="仿宋_GB2312"/>
          <w:sz w:val="32"/>
          <w:szCs w:val="32"/>
          <w:highlight w:val="none"/>
          <w:u w:val="none" w:color="auto"/>
        </w:rPr>
        <w:t>资产管理处应会同计划财务处在每年年末核对学院国有资产数据，检查、分析资产管理系统中的资产信息，及时调整差异，确保资产数据的准确，做到账账、账卡、账实相符。</w:t>
      </w:r>
    </w:p>
    <w:p>
      <w:pPr>
        <w:keepNext w:val="0"/>
        <w:keepLines w:val="0"/>
        <w:pageBreakBefore w:val="0"/>
        <w:numPr>
          <w:ilvl w:val="0"/>
          <w:numId w:val="0"/>
        </w:numPr>
        <w:tabs>
          <w:tab w:val="left" w:pos="0"/>
        </w:tabs>
        <w:kinsoku/>
        <w:wordWrap/>
        <w:overflowPunct/>
        <w:topLinePunct w:val="0"/>
        <w:bidi w:val="0"/>
        <w:snapToGrid/>
        <w:spacing w:line="580" w:lineRule="exact"/>
        <w:ind w:left="-10" w:leftChars="0" w:firstLine="640" w:firstLineChars="0"/>
        <w:textAlignment w:val="auto"/>
        <w:rPr>
          <w:rFonts w:hint="eastAsia" w:ascii="仿宋_GB2312" w:eastAsia="仿宋_GB2312"/>
          <w:sz w:val="32"/>
          <w:szCs w:val="32"/>
          <w:u w:val="none" w:color="auto"/>
        </w:rPr>
      </w:pPr>
      <w:r>
        <w:rPr>
          <w:rFonts w:hint="eastAsia" w:ascii="仿宋_GB2312" w:eastAsia="仿宋_GB2312"/>
          <w:b/>
          <w:bCs/>
          <w:sz w:val="32"/>
          <w:szCs w:val="32"/>
          <w:u w:val="none" w:color="auto"/>
          <w:lang w:val="en-US" w:eastAsia="zh-CN"/>
        </w:rPr>
        <w:t xml:space="preserve">第五十二条 </w:t>
      </w:r>
      <w:r>
        <w:rPr>
          <w:rFonts w:hint="eastAsia" w:ascii="仿宋_GB2312" w:eastAsia="仿宋_GB2312"/>
          <w:sz w:val="32"/>
          <w:szCs w:val="32"/>
          <w:u w:val="none" w:color="auto"/>
        </w:rPr>
        <w:t>学院每年按要求编制资产年报，逐级报送上级有关部门审核。学院预算管理一体化系统的资产模块及资产管理系统数据是编制资产年报的依据，可为学院、各部门的资产配置提供决策依据。</w:t>
      </w:r>
    </w:p>
    <w:p>
      <w:pPr>
        <w:keepNext w:val="0"/>
        <w:keepLines w:val="0"/>
        <w:pageBreakBefore w:val="0"/>
        <w:widowControl w:val="0"/>
        <w:kinsoku/>
        <w:wordWrap/>
        <w:overflowPunct/>
        <w:topLinePunct w:val="0"/>
        <w:autoSpaceDE/>
        <w:autoSpaceDN/>
        <w:bidi w:val="0"/>
        <w:adjustRightInd/>
        <w:snapToGrid/>
        <w:spacing w:before="0" w:beforeLines="50" w:after="0" w:afterLines="50" w:line="580" w:lineRule="exact"/>
        <w:jc w:val="center"/>
        <w:textAlignment w:val="auto"/>
        <w:outlineLvl w:val="0"/>
        <w:rPr>
          <w:rFonts w:hint="eastAsia" w:ascii="黑体" w:hAnsi="黑体" w:eastAsia="黑体"/>
          <w:sz w:val="32"/>
          <w:szCs w:val="32"/>
          <w:u w:val="none" w:color="auto"/>
          <w:lang w:val="en-US" w:eastAsia="zh-CN"/>
        </w:rPr>
      </w:pPr>
      <w:r>
        <w:rPr>
          <w:rFonts w:hint="eastAsia" w:ascii="黑体" w:hAnsi="黑体" w:eastAsia="黑体"/>
          <w:sz w:val="32"/>
          <w:szCs w:val="32"/>
          <w:u w:val="none" w:color="auto"/>
          <w:lang w:val="en-US" w:eastAsia="zh-CN"/>
        </w:rPr>
        <w:t>第八章  资产绩效考核</w:t>
      </w:r>
    </w:p>
    <w:p>
      <w:pPr>
        <w:keepNext w:val="0"/>
        <w:keepLines w:val="0"/>
        <w:pageBreakBefore w:val="0"/>
        <w:numPr>
          <w:ilvl w:val="0"/>
          <w:numId w:val="0"/>
        </w:numPr>
        <w:tabs>
          <w:tab w:val="left" w:pos="0"/>
        </w:tabs>
        <w:kinsoku/>
        <w:wordWrap/>
        <w:overflowPunct/>
        <w:topLinePunct w:val="0"/>
        <w:bidi w:val="0"/>
        <w:snapToGrid/>
        <w:spacing w:line="580" w:lineRule="exact"/>
        <w:ind w:left="-10" w:leftChars="0" w:firstLine="640" w:firstLineChars="0"/>
        <w:textAlignment w:val="auto"/>
        <w:rPr>
          <w:rFonts w:ascii="仿宋_GB2312" w:eastAsia="仿宋_GB2312"/>
          <w:sz w:val="32"/>
          <w:szCs w:val="32"/>
          <w:u w:val="none" w:color="auto"/>
        </w:rPr>
      </w:pPr>
      <w:r>
        <w:rPr>
          <w:rFonts w:hint="eastAsia" w:ascii="仿宋_GB2312" w:eastAsia="仿宋_GB2312"/>
          <w:b/>
          <w:bCs/>
          <w:sz w:val="32"/>
          <w:szCs w:val="32"/>
          <w:u w:val="none" w:color="auto"/>
          <w:lang w:val="en-US" w:eastAsia="zh-CN"/>
        </w:rPr>
        <w:t xml:space="preserve">第五十三条 </w:t>
      </w:r>
      <w:r>
        <w:rPr>
          <w:rFonts w:hint="eastAsia" w:ascii="仿宋_GB2312" w:eastAsia="仿宋_GB2312"/>
          <w:sz w:val="32"/>
          <w:szCs w:val="32"/>
          <w:u w:val="none" w:color="auto"/>
        </w:rPr>
        <w:t>学院国有资产管理绩效考核包括各部门资产管理的基础工作，资产管理制度和队伍，资产配置、使用和处置等主要内容。</w:t>
      </w:r>
      <w:r>
        <w:rPr>
          <w:rFonts w:hint="eastAsia" w:ascii="仿宋_GB2312" w:eastAsia="仿宋_GB2312"/>
          <w:sz w:val="32"/>
          <w:szCs w:val="32"/>
          <w:u w:val="none" w:color="auto"/>
        </w:rPr>
        <w:t>具体考核项目可参</w:t>
      </w:r>
      <w:r>
        <w:rPr>
          <w:rFonts w:hint="eastAsia" w:ascii="仿宋_GB2312" w:eastAsia="仿宋_GB2312"/>
          <w:sz w:val="32"/>
          <w:szCs w:val="32"/>
          <w:highlight w:val="none"/>
          <w:u w:val="none" w:color="auto"/>
        </w:rPr>
        <w:t>照《</w:t>
      </w:r>
      <w:r>
        <w:rPr>
          <w:rFonts w:hint="eastAsia" w:ascii="仿宋_GB2312" w:eastAsia="仿宋_GB2312"/>
          <w:sz w:val="32"/>
          <w:szCs w:val="32"/>
          <w:highlight w:val="none"/>
          <w:u w:val="none" w:color="auto"/>
          <w:lang w:eastAsia="zh-CN"/>
        </w:rPr>
        <w:t>江西工业贸易职业技术学院</w:t>
      </w:r>
      <w:r>
        <w:rPr>
          <w:rFonts w:hint="eastAsia" w:ascii="仿宋_GB2312" w:eastAsia="仿宋_GB2312"/>
          <w:sz w:val="32"/>
          <w:szCs w:val="32"/>
          <w:highlight w:val="none"/>
          <w:u w:val="none" w:color="auto"/>
        </w:rPr>
        <w:t>资产管理考核表》内容（附件</w:t>
      </w:r>
      <w:r>
        <w:rPr>
          <w:rFonts w:hint="eastAsia" w:ascii="仿宋_GB2312" w:eastAsia="仿宋_GB2312"/>
          <w:sz w:val="32"/>
          <w:szCs w:val="32"/>
          <w:u w:val="none" w:color="auto"/>
          <w:lang w:val="en-US" w:eastAsia="zh-CN"/>
        </w:rPr>
        <w:t>3</w:t>
      </w:r>
      <w:r>
        <w:rPr>
          <w:rFonts w:hint="eastAsia" w:ascii="仿宋_GB2312" w:eastAsia="仿宋_GB2312"/>
          <w:sz w:val="32"/>
          <w:szCs w:val="32"/>
          <w:u w:val="none" w:color="auto"/>
        </w:rPr>
        <w:t>）。</w:t>
      </w:r>
    </w:p>
    <w:p>
      <w:pPr>
        <w:keepNext w:val="0"/>
        <w:keepLines w:val="0"/>
        <w:pageBreakBefore w:val="0"/>
        <w:numPr>
          <w:ilvl w:val="0"/>
          <w:numId w:val="0"/>
        </w:numPr>
        <w:tabs>
          <w:tab w:val="left" w:pos="0"/>
        </w:tabs>
        <w:kinsoku/>
        <w:wordWrap/>
        <w:overflowPunct/>
        <w:topLinePunct w:val="0"/>
        <w:bidi w:val="0"/>
        <w:snapToGrid/>
        <w:spacing w:line="580" w:lineRule="exact"/>
        <w:ind w:left="-10" w:leftChars="0" w:firstLine="640" w:firstLineChars="0"/>
        <w:textAlignment w:val="auto"/>
        <w:rPr>
          <w:rFonts w:ascii="仿宋_GB2312" w:eastAsia="仿宋_GB2312"/>
          <w:sz w:val="32"/>
          <w:szCs w:val="32"/>
          <w:u w:val="none" w:color="auto"/>
        </w:rPr>
      </w:pPr>
      <w:r>
        <w:rPr>
          <w:rFonts w:hint="eastAsia" w:ascii="仿宋_GB2312" w:eastAsia="仿宋_GB2312"/>
          <w:b/>
          <w:bCs/>
          <w:sz w:val="32"/>
          <w:szCs w:val="32"/>
          <w:u w:val="none" w:color="auto"/>
          <w:lang w:val="en-US" w:eastAsia="zh-CN"/>
        </w:rPr>
        <w:t xml:space="preserve">第五十四条 </w:t>
      </w:r>
      <w:r>
        <w:rPr>
          <w:rFonts w:hint="eastAsia" w:ascii="仿宋_GB2312" w:eastAsia="仿宋_GB2312"/>
          <w:sz w:val="32"/>
          <w:szCs w:val="32"/>
          <w:u w:val="none" w:color="auto"/>
        </w:rPr>
        <w:t>学院国有资产管理绩效考核采用日常工作考核、年末档案检查、重点实地考察等方式进行。每学期末进行一次，并于年度部门考核及个人绩效考核前完成各项考核。学院资产考核</w:t>
      </w:r>
      <w:r>
        <w:rPr>
          <w:rFonts w:hint="eastAsia" w:ascii="仿宋_GB2312" w:eastAsia="仿宋_GB2312"/>
          <w:sz w:val="32"/>
          <w:szCs w:val="32"/>
          <w:u w:val="none" w:color="auto"/>
          <w:lang w:eastAsia="zh-CN"/>
        </w:rPr>
        <w:t>工作按以下</w:t>
      </w:r>
      <w:r>
        <w:rPr>
          <w:rFonts w:hint="eastAsia" w:ascii="仿宋_GB2312" w:eastAsia="仿宋_GB2312"/>
          <w:sz w:val="32"/>
          <w:szCs w:val="32"/>
          <w:u w:val="none" w:color="auto"/>
        </w:rPr>
        <w:t>程序</w:t>
      </w:r>
      <w:r>
        <w:rPr>
          <w:rFonts w:hint="eastAsia" w:ascii="仿宋_GB2312" w:eastAsia="仿宋_GB2312"/>
          <w:sz w:val="32"/>
          <w:szCs w:val="32"/>
          <w:u w:val="none" w:color="auto"/>
          <w:lang w:eastAsia="zh-CN"/>
        </w:rPr>
        <w:t>开展</w:t>
      </w:r>
      <w:r>
        <w:rPr>
          <w:rFonts w:hint="eastAsia" w:ascii="仿宋_GB2312" w:eastAsia="仿宋_GB2312"/>
          <w:sz w:val="32"/>
          <w:szCs w:val="32"/>
          <w:u w:val="none" w:color="auto"/>
        </w:rPr>
        <w:t>：</w:t>
      </w:r>
    </w:p>
    <w:p>
      <w:pPr>
        <w:keepNext w:val="0"/>
        <w:keepLines w:val="0"/>
        <w:pageBreakBefore w:val="0"/>
        <w:kinsoku/>
        <w:wordWrap/>
        <w:overflowPunct/>
        <w:topLinePunct w:val="0"/>
        <w:bidi w:val="0"/>
        <w:snapToGrid/>
        <w:spacing w:line="580" w:lineRule="exact"/>
        <w:ind w:firstLine="640" w:firstLineChars="200"/>
        <w:textAlignment w:val="auto"/>
        <w:rPr>
          <w:rFonts w:ascii="仿宋_GB2312" w:eastAsia="仿宋_GB2312"/>
          <w:sz w:val="32"/>
          <w:szCs w:val="32"/>
          <w:u w:val="none" w:color="auto"/>
        </w:rPr>
      </w:pPr>
      <w:r>
        <w:rPr>
          <w:rFonts w:hint="eastAsia" w:ascii="仿宋_GB2312" w:eastAsia="仿宋_GB2312"/>
          <w:sz w:val="32"/>
          <w:szCs w:val="32"/>
          <w:u w:val="none" w:color="auto"/>
        </w:rPr>
        <w:t>（一）</w:t>
      </w:r>
      <w:r>
        <w:rPr>
          <w:rFonts w:hint="eastAsia" w:ascii="仿宋_GB2312" w:eastAsia="仿宋_GB2312"/>
          <w:sz w:val="32"/>
          <w:szCs w:val="32"/>
          <w:u w:val="none" w:color="auto"/>
          <w:lang w:eastAsia="zh-CN"/>
        </w:rPr>
        <w:t>部门</w:t>
      </w:r>
      <w:r>
        <w:rPr>
          <w:rFonts w:hint="eastAsia" w:ascii="仿宋_GB2312" w:eastAsia="仿宋_GB2312"/>
          <w:sz w:val="32"/>
          <w:szCs w:val="32"/>
          <w:u w:val="none" w:color="auto"/>
        </w:rPr>
        <w:t>自查。各部门对照《</w:t>
      </w:r>
      <w:r>
        <w:rPr>
          <w:rFonts w:hint="eastAsia" w:ascii="仿宋_GB2312" w:eastAsia="仿宋_GB2312"/>
          <w:sz w:val="32"/>
          <w:szCs w:val="32"/>
          <w:u w:val="none" w:color="auto"/>
          <w:lang w:eastAsia="zh-CN"/>
        </w:rPr>
        <w:t>江西工业贸易职业技术学院</w:t>
      </w:r>
      <w:r>
        <w:rPr>
          <w:rFonts w:hint="eastAsia" w:ascii="仿宋_GB2312" w:eastAsia="仿宋_GB2312"/>
          <w:sz w:val="32"/>
          <w:szCs w:val="32"/>
          <w:u w:val="none" w:color="auto"/>
        </w:rPr>
        <w:t>资产管理考核表》对本部门资产管理工作情况逐项进行检查打分，由部门负责人签字盖章后，在规定时间内报送资产管理处。</w:t>
      </w:r>
    </w:p>
    <w:p>
      <w:pPr>
        <w:keepNext w:val="0"/>
        <w:keepLines w:val="0"/>
        <w:pageBreakBefore w:val="0"/>
        <w:kinsoku/>
        <w:wordWrap/>
        <w:overflowPunct/>
        <w:topLinePunct w:val="0"/>
        <w:bidi w:val="0"/>
        <w:snapToGrid/>
        <w:spacing w:line="580" w:lineRule="exact"/>
        <w:ind w:firstLine="640" w:firstLineChars="200"/>
        <w:textAlignment w:val="auto"/>
        <w:rPr>
          <w:rFonts w:ascii="仿宋_GB2312" w:eastAsia="仿宋_GB2312"/>
          <w:sz w:val="32"/>
          <w:szCs w:val="32"/>
          <w:u w:val="none" w:color="auto"/>
        </w:rPr>
      </w:pPr>
      <w:r>
        <w:rPr>
          <w:rFonts w:hint="eastAsia" w:ascii="仿宋_GB2312" w:eastAsia="仿宋_GB2312"/>
          <w:sz w:val="32"/>
          <w:szCs w:val="32"/>
          <w:u w:val="none" w:color="auto"/>
        </w:rPr>
        <w:t>（二）考核</w:t>
      </w:r>
      <w:r>
        <w:rPr>
          <w:rFonts w:hint="eastAsia" w:ascii="仿宋_GB2312" w:eastAsia="仿宋_GB2312"/>
          <w:sz w:val="32"/>
          <w:szCs w:val="32"/>
          <w:u w:val="none" w:color="auto"/>
          <w:lang w:eastAsia="zh-CN"/>
        </w:rPr>
        <w:t>评分</w:t>
      </w:r>
      <w:r>
        <w:rPr>
          <w:rFonts w:hint="eastAsia" w:ascii="仿宋_GB2312" w:eastAsia="仿宋_GB2312"/>
          <w:sz w:val="32"/>
          <w:szCs w:val="32"/>
          <w:u w:val="none" w:color="auto"/>
        </w:rPr>
        <w:t>。资产管理处依据本办法</w:t>
      </w:r>
      <w:r>
        <w:rPr>
          <w:rFonts w:hint="eastAsia" w:ascii="仿宋_GB2312" w:eastAsia="仿宋_GB2312"/>
          <w:sz w:val="32"/>
          <w:szCs w:val="32"/>
          <w:u w:val="none" w:color="auto"/>
          <w:lang w:val="en-US" w:eastAsia="zh-CN"/>
        </w:rPr>
        <w:t>第</w:t>
      </w:r>
      <w:r>
        <w:rPr>
          <w:rFonts w:hint="eastAsia" w:ascii="仿宋_GB2312" w:eastAsia="仿宋_GB2312"/>
          <w:sz w:val="32"/>
          <w:szCs w:val="32"/>
          <w:highlight w:val="none"/>
          <w:u w:val="none" w:color="auto"/>
        </w:rPr>
        <w:t>五十</w:t>
      </w:r>
      <w:r>
        <w:rPr>
          <w:rFonts w:hint="eastAsia" w:ascii="仿宋_GB2312" w:eastAsia="仿宋_GB2312"/>
          <w:sz w:val="32"/>
          <w:szCs w:val="32"/>
          <w:highlight w:val="none"/>
          <w:u w:val="none" w:color="auto"/>
          <w:lang w:eastAsia="zh-CN"/>
        </w:rPr>
        <w:t>三</w:t>
      </w:r>
      <w:r>
        <w:rPr>
          <w:rFonts w:hint="eastAsia" w:ascii="仿宋_GB2312" w:eastAsia="仿宋_GB2312"/>
          <w:sz w:val="32"/>
          <w:szCs w:val="32"/>
          <w:highlight w:val="none"/>
          <w:u w:val="none" w:color="auto"/>
          <w:lang w:val="en-US" w:eastAsia="zh-CN"/>
        </w:rPr>
        <w:t>条</w:t>
      </w:r>
      <w:r>
        <w:rPr>
          <w:rFonts w:hint="eastAsia" w:ascii="仿宋_GB2312" w:eastAsia="仿宋_GB2312"/>
          <w:sz w:val="32"/>
          <w:szCs w:val="32"/>
          <w:u w:val="none" w:color="auto"/>
        </w:rPr>
        <w:t>对各部门的资产管理工作进行账、证、物等方面核查，综合评分，确定各部门的考核得分。</w:t>
      </w:r>
    </w:p>
    <w:p>
      <w:pPr>
        <w:keepNext w:val="0"/>
        <w:keepLines w:val="0"/>
        <w:pageBreakBefore w:val="0"/>
        <w:kinsoku/>
        <w:wordWrap/>
        <w:overflowPunct/>
        <w:topLinePunct w:val="0"/>
        <w:bidi w:val="0"/>
        <w:snapToGrid/>
        <w:spacing w:line="580" w:lineRule="exact"/>
        <w:ind w:firstLine="640" w:firstLineChars="200"/>
        <w:textAlignment w:val="auto"/>
        <w:rPr>
          <w:rFonts w:ascii="仿宋_GB2312" w:eastAsia="仿宋_GB2312"/>
          <w:sz w:val="32"/>
          <w:szCs w:val="32"/>
          <w:u w:val="none" w:color="auto"/>
        </w:rPr>
      </w:pPr>
      <w:r>
        <w:rPr>
          <w:rFonts w:hint="eastAsia" w:ascii="仿宋_GB2312" w:eastAsia="仿宋_GB2312"/>
          <w:sz w:val="32"/>
          <w:szCs w:val="32"/>
          <w:u w:val="none" w:color="auto"/>
        </w:rPr>
        <w:t>（三）</w:t>
      </w:r>
      <w:r>
        <w:rPr>
          <w:rFonts w:hint="eastAsia" w:ascii="仿宋_GB2312" w:eastAsia="仿宋_GB2312"/>
          <w:sz w:val="32"/>
          <w:szCs w:val="32"/>
          <w:u w:val="none" w:color="auto"/>
          <w:lang w:eastAsia="zh-CN"/>
        </w:rPr>
        <w:t>考核</w:t>
      </w:r>
      <w:r>
        <w:rPr>
          <w:rFonts w:hint="eastAsia" w:ascii="仿宋_GB2312" w:eastAsia="仿宋_GB2312"/>
          <w:sz w:val="32"/>
          <w:szCs w:val="32"/>
          <w:u w:val="none" w:color="auto"/>
        </w:rPr>
        <w:t>反馈。</w:t>
      </w:r>
      <w:r>
        <w:rPr>
          <w:rFonts w:hint="eastAsia" w:ascii="仿宋_GB2312" w:eastAsia="仿宋_GB2312"/>
          <w:sz w:val="32"/>
          <w:szCs w:val="32"/>
          <w:u w:val="none" w:color="auto"/>
          <w:lang w:eastAsia="zh-CN"/>
        </w:rPr>
        <w:t>资产管理处将</w:t>
      </w:r>
      <w:r>
        <w:rPr>
          <w:rFonts w:hint="eastAsia" w:ascii="仿宋_GB2312" w:eastAsia="仿宋_GB2312"/>
          <w:sz w:val="32"/>
          <w:szCs w:val="32"/>
          <w:u w:val="none" w:color="auto"/>
        </w:rPr>
        <w:t>考核情况反馈</w:t>
      </w:r>
      <w:r>
        <w:rPr>
          <w:rFonts w:hint="eastAsia" w:ascii="仿宋_GB2312" w:eastAsia="仿宋_GB2312"/>
          <w:sz w:val="32"/>
          <w:szCs w:val="32"/>
          <w:u w:val="none" w:color="auto"/>
          <w:lang w:eastAsia="zh-CN"/>
        </w:rPr>
        <w:t>给</w:t>
      </w:r>
      <w:r>
        <w:rPr>
          <w:rFonts w:hint="eastAsia" w:ascii="仿宋_GB2312" w:eastAsia="仿宋_GB2312"/>
          <w:sz w:val="32"/>
          <w:szCs w:val="32"/>
          <w:u w:val="none" w:color="auto"/>
        </w:rPr>
        <w:t>各部门，各部门如有异议，以书面的形式向</w:t>
      </w:r>
      <w:r>
        <w:rPr>
          <w:rFonts w:hint="eastAsia" w:ascii="仿宋_GB2312" w:eastAsia="仿宋_GB2312"/>
          <w:sz w:val="32"/>
          <w:szCs w:val="32"/>
          <w:u w:val="none" w:color="auto"/>
          <w:lang w:eastAsia="zh-CN"/>
        </w:rPr>
        <w:t>资产管理处</w:t>
      </w:r>
      <w:r>
        <w:rPr>
          <w:rFonts w:hint="eastAsia" w:ascii="仿宋_GB2312" w:eastAsia="仿宋_GB2312"/>
          <w:sz w:val="32"/>
          <w:szCs w:val="32"/>
          <w:u w:val="none" w:color="auto"/>
        </w:rPr>
        <w:t>反映情况，</w:t>
      </w:r>
      <w:r>
        <w:rPr>
          <w:rFonts w:hint="eastAsia" w:ascii="仿宋_GB2312" w:eastAsia="仿宋_GB2312"/>
          <w:sz w:val="32"/>
          <w:szCs w:val="32"/>
          <w:u w:val="none" w:color="auto"/>
          <w:lang w:eastAsia="zh-CN"/>
        </w:rPr>
        <w:t>资产管理处应</w:t>
      </w:r>
      <w:r>
        <w:rPr>
          <w:rFonts w:hint="eastAsia" w:ascii="仿宋_GB2312" w:eastAsia="仿宋_GB2312"/>
          <w:sz w:val="32"/>
          <w:szCs w:val="32"/>
          <w:u w:val="none" w:color="auto"/>
        </w:rPr>
        <w:t>认真核查，及时答复。</w:t>
      </w:r>
    </w:p>
    <w:p>
      <w:pPr>
        <w:keepNext w:val="0"/>
        <w:keepLines w:val="0"/>
        <w:pageBreakBefore w:val="0"/>
        <w:kinsoku/>
        <w:wordWrap/>
        <w:overflowPunct/>
        <w:topLinePunct w:val="0"/>
        <w:bidi w:val="0"/>
        <w:snapToGrid/>
        <w:spacing w:line="580" w:lineRule="exact"/>
        <w:ind w:firstLine="640" w:firstLineChars="200"/>
        <w:textAlignment w:val="auto"/>
        <w:rPr>
          <w:rFonts w:hint="eastAsia" w:ascii="仿宋_GB2312" w:eastAsia="仿宋_GB2312"/>
          <w:sz w:val="32"/>
          <w:szCs w:val="32"/>
          <w:u w:val="none" w:color="auto"/>
          <w:lang w:val="en-US" w:eastAsia="zh-CN"/>
        </w:rPr>
      </w:pPr>
      <w:r>
        <w:rPr>
          <w:rFonts w:hint="eastAsia" w:ascii="仿宋_GB2312" w:eastAsia="仿宋_GB2312"/>
          <w:sz w:val="32"/>
          <w:szCs w:val="32"/>
          <w:u w:val="none" w:color="auto"/>
        </w:rPr>
        <w:t>（四）</w:t>
      </w:r>
      <w:r>
        <w:rPr>
          <w:rFonts w:hint="eastAsia" w:ascii="仿宋_GB2312" w:eastAsia="仿宋_GB2312"/>
          <w:sz w:val="32"/>
          <w:szCs w:val="32"/>
          <w:u w:val="none" w:color="auto"/>
          <w:lang w:eastAsia="zh-CN"/>
        </w:rPr>
        <w:t>结</w:t>
      </w:r>
      <w:r>
        <w:rPr>
          <w:rFonts w:hint="eastAsia" w:ascii="仿宋_GB2312" w:eastAsia="仿宋_GB2312"/>
          <w:color w:val="auto"/>
          <w:sz w:val="32"/>
          <w:szCs w:val="32"/>
          <w:highlight w:val="none"/>
          <w:u w:val="none" w:color="auto"/>
          <w:lang w:eastAsia="zh-CN"/>
        </w:rPr>
        <w:t>果报送</w:t>
      </w:r>
      <w:r>
        <w:rPr>
          <w:rFonts w:hint="eastAsia" w:ascii="仿宋_GB2312" w:eastAsia="仿宋_GB2312"/>
          <w:color w:val="auto"/>
          <w:sz w:val="32"/>
          <w:szCs w:val="32"/>
          <w:highlight w:val="none"/>
          <w:u w:val="none" w:color="auto"/>
        </w:rPr>
        <w:t>。</w:t>
      </w:r>
      <w:r>
        <w:rPr>
          <w:rFonts w:hint="eastAsia" w:ascii="仿宋_GB2312" w:eastAsia="仿宋_GB2312"/>
          <w:color w:val="auto"/>
          <w:sz w:val="32"/>
          <w:szCs w:val="32"/>
          <w:highlight w:val="none"/>
          <w:u w:val="none" w:color="auto"/>
          <w:lang w:eastAsia="zh-CN"/>
        </w:rPr>
        <w:t>资产管</w:t>
      </w:r>
      <w:r>
        <w:rPr>
          <w:rFonts w:hint="eastAsia" w:ascii="仿宋_GB2312" w:eastAsia="仿宋_GB2312"/>
          <w:sz w:val="32"/>
          <w:szCs w:val="32"/>
          <w:u w:val="none" w:color="auto"/>
          <w:lang w:eastAsia="zh-CN"/>
        </w:rPr>
        <w:t>理处将</w:t>
      </w:r>
      <w:r>
        <w:rPr>
          <w:rFonts w:hint="eastAsia" w:ascii="仿宋_GB2312" w:eastAsia="仿宋_GB2312"/>
          <w:sz w:val="32"/>
          <w:szCs w:val="32"/>
          <w:u w:val="none" w:color="auto"/>
        </w:rPr>
        <w:t>考核结果</w:t>
      </w:r>
      <w:r>
        <w:rPr>
          <w:rFonts w:hint="eastAsia" w:ascii="仿宋_GB2312" w:eastAsia="仿宋_GB2312"/>
          <w:sz w:val="32"/>
          <w:szCs w:val="32"/>
          <w:u w:val="none" w:color="auto"/>
          <w:lang w:eastAsia="zh-CN"/>
        </w:rPr>
        <w:t>提交学院办公室，纳入部门学期考核。</w:t>
      </w:r>
    </w:p>
    <w:p>
      <w:pPr>
        <w:keepNext w:val="0"/>
        <w:keepLines w:val="0"/>
        <w:pageBreakBefore w:val="0"/>
        <w:widowControl w:val="0"/>
        <w:kinsoku/>
        <w:wordWrap/>
        <w:overflowPunct/>
        <w:topLinePunct w:val="0"/>
        <w:autoSpaceDE/>
        <w:autoSpaceDN/>
        <w:bidi w:val="0"/>
        <w:adjustRightInd/>
        <w:snapToGrid/>
        <w:spacing w:before="0" w:beforeLines="50" w:after="0" w:afterLines="50" w:line="580" w:lineRule="exact"/>
        <w:jc w:val="center"/>
        <w:textAlignment w:val="auto"/>
        <w:outlineLvl w:val="0"/>
        <w:rPr>
          <w:rFonts w:hint="eastAsia" w:ascii="黑体" w:hAnsi="黑体" w:eastAsia="黑体"/>
          <w:sz w:val="32"/>
          <w:szCs w:val="32"/>
          <w:u w:val="none" w:color="auto"/>
        </w:rPr>
      </w:pPr>
      <w:r>
        <w:rPr>
          <w:rFonts w:hint="eastAsia" w:ascii="黑体" w:hAnsi="黑体" w:eastAsia="黑体"/>
          <w:sz w:val="32"/>
          <w:szCs w:val="32"/>
          <w:u w:val="none" w:color="auto"/>
        </w:rPr>
        <w:t>第</w:t>
      </w:r>
      <w:r>
        <w:rPr>
          <w:rFonts w:hint="eastAsia" w:ascii="黑体" w:hAnsi="黑体" w:eastAsia="黑体"/>
          <w:sz w:val="32"/>
          <w:szCs w:val="32"/>
          <w:u w:val="none" w:color="auto"/>
          <w:lang w:eastAsia="zh-CN"/>
        </w:rPr>
        <w:t>九</w:t>
      </w:r>
      <w:r>
        <w:rPr>
          <w:rFonts w:hint="eastAsia" w:ascii="黑体" w:hAnsi="黑体" w:eastAsia="黑体"/>
          <w:sz w:val="32"/>
          <w:szCs w:val="32"/>
          <w:u w:val="none" w:color="auto"/>
        </w:rPr>
        <w:t xml:space="preserve">章 </w:t>
      </w:r>
      <w:r>
        <w:rPr>
          <w:rFonts w:hint="eastAsia" w:ascii="黑体" w:hAnsi="黑体" w:eastAsia="黑体"/>
          <w:sz w:val="32"/>
          <w:szCs w:val="32"/>
          <w:u w:val="none" w:color="auto"/>
          <w:lang w:val="en-US" w:eastAsia="zh-CN"/>
        </w:rPr>
        <w:t xml:space="preserve"> </w:t>
      </w:r>
      <w:r>
        <w:rPr>
          <w:rFonts w:hint="eastAsia" w:ascii="黑体" w:hAnsi="黑体" w:eastAsia="黑体"/>
          <w:sz w:val="32"/>
          <w:szCs w:val="32"/>
          <w:u w:val="none" w:color="auto"/>
        </w:rPr>
        <w:t>监督管理与法律责任</w:t>
      </w:r>
    </w:p>
    <w:p>
      <w:pPr>
        <w:keepNext w:val="0"/>
        <w:keepLines w:val="0"/>
        <w:pageBreakBefore w:val="0"/>
        <w:numPr>
          <w:ilvl w:val="0"/>
          <w:numId w:val="0"/>
        </w:numPr>
        <w:tabs>
          <w:tab w:val="left" w:pos="0"/>
        </w:tabs>
        <w:kinsoku/>
        <w:wordWrap/>
        <w:overflowPunct/>
        <w:topLinePunct w:val="0"/>
        <w:bidi w:val="0"/>
        <w:snapToGrid/>
        <w:spacing w:line="580" w:lineRule="exact"/>
        <w:ind w:left="-10" w:leftChars="0" w:firstLine="640" w:firstLineChars="0"/>
        <w:textAlignment w:val="auto"/>
        <w:rPr>
          <w:rFonts w:ascii="仿宋_GB2312" w:eastAsia="仿宋_GB2312"/>
          <w:sz w:val="32"/>
          <w:szCs w:val="32"/>
          <w:u w:val="none" w:color="auto"/>
        </w:rPr>
      </w:pPr>
      <w:r>
        <w:rPr>
          <w:rFonts w:hint="eastAsia" w:ascii="仿宋_GB2312" w:eastAsia="仿宋_GB2312"/>
          <w:b/>
          <w:bCs/>
          <w:sz w:val="32"/>
          <w:szCs w:val="32"/>
          <w:u w:val="none" w:color="auto"/>
          <w:lang w:val="en-US" w:eastAsia="zh-CN"/>
        </w:rPr>
        <w:t xml:space="preserve">第五十五条 </w:t>
      </w:r>
      <w:r>
        <w:rPr>
          <w:rFonts w:hint="eastAsia" w:ascii="仿宋_GB2312" w:eastAsia="仿宋_GB2312"/>
          <w:sz w:val="32"/>
          <w:szCs w:val="32"/>
          <w:u w:val="none" w:color="auto"/>
        </w:rPr>
        <w:t>学院国有资产配置、使用、处置情况接受</w:t>
      </w:r>
      <w:r>
        <w:rPr>
          <w:rFonts w:hint="eastAsia" w:ascii="仿宋_GB2312" w:eastAsia="仿宋_GB2312"/>
          <w:sz w:val="32"/>
          <w:szCs w:val="32"/>
          <w:u w:val="none" w:color="auto"/>
          <w:lang w:eastAsia="zh-CN"/>
        </w:rPr>
        <w:t>主管部门</w:t>
      </w:r>
      <w:r>
        <w:rPr>
          <w:rFonts w:hint="eastAsia" w:ascii="仿宋_GB2312" w:eastAsia="仿宋_GB2312"/>
          <w:sz w:val="32"/>
          <w:szCs w:val="32"/>
          <w:u w:val="none" w:color="auto"/>
        </w:rPr>
        <w:t>及有关部门的监督，定期或不定期开展专项检查。</w:t>
      </w:r>
    </w:p>
    <w:p>
      <w:pPr>
        <w:keepNext w:val="0"/>
        <w:keepLines w:val="0"/>
        <w:pageBreakBefore w:val="0"/>
        <w:numPr>
          <w:ilvl w:val="0"/>
          <w:numId w:val="0"/>
        </w:numPr>
        <w:tabs>
          <w:tab w:val="left" w:pos="0"/>
        </w:tabs>
        <w:kinsoku/>
        <w:wordWrap/>
        <w:overflowPunct/>
        <w:topLinePunct w:val="0"/>
        <w:bidi w:val="0"/>
        <w:snapToGrid/>
        <w:spacing w:line="580" w:lineRule="exact"/>
        <w:ind w:left="-10" w:leftChars="0" w:firstLine="640" w:firstLineChars="0"/>
        <w:textAlignment w:val="auto"/>
        <w:rPr>
          <w:rFonts w:ascii="仿宋_GB2312" w:eastAsia="仿宋_GB2312"/>
          <w:sz w:val="32"/>
          <w:szCs w:val="32"/>
          <w:u w:val="none" w:color="auto"/>
        </w:rPr>
      </w:pPr>
      <w:r>
        <w:rPr>
          <w:rFonts w:hint="eastAsia" w:ascii="仿宋_GB2312" w:eastAsia="仿宋_GB2312"/>
          <w:b/>
          <w:bCs/>
          <w:sz w:val="32"/>
          <w:szCs w:val="32"/>
          <w:u w:val="none" w:color="auto"/>
          <w:lang w:val="en-US" w:eastAsia="zh-CN"/>
        </w:rPr>
        <w:t xml:space="preserve">第五十六条 </w:t>
      </w:r>
      <w:r>
        <w:rPr>
          <w:rFonts w:hint="eastAsia" w:ascii="仿宋_GB2312" w:eastAsia="仿宋_GB2312"/>
          <w:sz w:val="32"/>
          <w:szCs w:val="32"/>
          <w:u w:val="none" w:color="auto"/>
        </w:rPr>
        <w:t>学院国有资产监督检查工作，应当坚持部门内部监督与财政监督、审计监督、社会监督相结合，事前监督与事中监督、事后监督相结合，日常监督与专项检查相结合。</w:t>
      </w:r>
    </w:p>
    <w:p>
      <w:pPr>
        <w:keepNext w:val="0"/>
        <w:keepLines w:val="0"/>
        <w:pageBreakBefore w:val="0"/>
        <w:numPr>
          <w:ilvl w:val="0"/>
          <w:numId w:val="0"/>
        </w:numPr>
        <w:tabs>
          <w:tab w:val="left" w:pos="0"/>
        </w:tabs>
        <w:kinsoku/>
        <w:wordWrap/>
        <w:overflowPunct/>
        <w:topLinePunct w:val="0"/>
        <w:bidi w:val="0"/>
        <w:snapToGrid/>
        <w:spacing w:line="580" w:lineRule="exact"/>
        <w:ind w:left="-10" w:leftChars="0" w:firstLine="640" w:firstLineChars="0"/>
        <w:textAlignment w:val="auto"/>
        <w:rPr>
          <w:rFonts w:ascii="仿宋_GB2312" w:eastAsia="仿宋_GB2312"/>
          <w:sz w:val="32"/>
          <w:szCs w:val="32"/>
          <w:u w:val="none" w:color="auto"/>
        </w:rPr>
      </w:pPr>
      <w:r>
        <w:rPr>
          <w:rFonts w:hint="eastAsia" w:ascii="仿宋_GB2312" w:eastAsia="仿宋_GB2312"/>
          <w:b/>
          <w:bCs/>
          <w:sz w:val="32"/>
          <w:szCs w:val="32"/>
          <w:u w:val="none" w:color="auto"/>
          <w:lang w:val="en-US" w:eastAsia="zh-CN"/>
        </w:rPr>
        <w:t xml:space="preserve">第五十七条 </w:t>
      </w:r>
      <w:r>
        <w:rPr>
          <w:rFonts w:hint="eastAsia" w:ascii="仿宋_GB2312" w:eastAsia="仿宋_GB2312"/>
          <w:sz w:val="32"/>
          <w:szCs w:val="32"/>
          <w:u w:val="none" w:color="auto"/>
          <w:lang w:eastAsia="zh-CN"/>
        </w:rPr>
        <w:t>各部门</w:t>
      </w:r>
      <w:r>
        <w:rPr>
          <w:rFonts w:hint="eastAsia" w:ascii="仿宋_GB2312" w:eastAsia="仿宋_GB2312"/>
          <w:sz w:val="32"/>
          <w:szCs w:val="32"/>
          <w:u w:val="none" w:color="auto"/>
        </w:rPr>
        <w:t>要强化责任意识，落实国有资产管理规定，自觉接受有关监督和检查。各部门和个人有权对学院国有资产管理中的违纪违法行为进行举报。</w:t>
      </w:r>
    </w:p>
    <w:p>
      <w:pPr>
        <w:keepNext w:val="0"/>
        <w:keepLines w:val="0"/>
        <w:pageBreakBefore w:val="0"/>
        <w:numPr>
          <w:ilvl w:val="0"/>
          <w:numId w:val="0"/>
        </w:numPr>
        <w:tabs>
          <w:tab w:val="left" w:pos="0"/>
        </w:tabs>
        <w:kinsoku/>
        <w:wordWrap/>
        <w:overflowPunct/>
        <w:topLinePunct w:val="0"/>
        <w:bidi w:val="0"/>
        <w:snapToGrid/>
        <w:spacing w:line="580" w:lineRule="exact"/>
        <w:ind w:left="-10" w:leftChars="0" w:firstLine="640" w:firstLineChars="0"/>
        <w:textAlignment w:val="auto"/>
        <w:rPr>
          <w:rFonts w:ascii="仿宋_GB2312" w:eastAsia="仿宋_GB2312"/>
          <w:sz w:val="32"/>
          <w:szCs w:val="32"/>
          <w:u w:val="none" w:color="auto"/>
        </w:rPr>
      </w:pPr>
      <w:r>
        <w:rPr>
          <w:rFonts w:hint="eastAsia" w:ascii="仿宋_GB2312" w:eastAsia="仿宋_GB2312"/>
          <w:b/>
          <w:bCs/>
          <w:sz w:val="32"/>
          <w:szCs w:val="32"/>
          <w:u w:val="none" w:color="auto"/>
          <w:lang w:val="en-US" w:eastAsia="zh-CN"/>
        </w:rPr>
        <w:t xml:space="preserve">第五十八条 </w:t>
      </w:r>
      <w:r>
        <w:rPr>
          <w:rFonts w:hint="eastAsia" w:ascii="仿宋_GB2312" w:eastAsia="仿宋_GB2312"/>
          <w:sz w:val="32"/>
          <w:szCs w:val="32"/>
          <w:u w:val="none" w:color="auto"/>
          <w:lang w:eastAsia="zh-CN"/>
        </w:rPr>
        <w:t>各部门</w:t>
      </w:r>
      <w:r>
        <w:rPr>
          <w:rFonts w:hint="eastAsia" w:ascii="仿宋_GB2312" w:eastAsia="仿宋_GB2312"/>
          <w:sz w:val="32"/>
          <w:szCs w:val="32"/>
          <w:u w:val="none" w:color="auto"/>
        </w:rPr>
        <w:t>应加强对</w:t>
      </w:r>
      <w:r>
        <w:rPr>
          <w:rFonts w:hint="eastAsia" w:ascii="仿宋_GB2312" w:eastAsia="仿宋_GB2312"/>
          <w:sz w:val="32"/>
          <w:szCs w:val="32"/>
          <w:u w:val="none" w:color="auto"/>
          <w:lang w:eastAsia="zh-CN"/>
        </w:rPr>
        <w:t>国有</w:t>
      </w:r>
      <w:r>
        <w:rPr>
          <w:rFonts w:hint="eastAsia" w:ascii="仿宋_GB2312" w:eastAsia="仿宋_GB2312"/>
          <w:sz w:val="32"/>
          <w:szCs w:val="32"/>
          <w:u w:val="none" w:color="auto"/>
        </w:rPr>
        <w:t>资产的日常管理，对未能履行管理职责，资产管理不善造成资产损失时，应进行相应的赔偿。因使用或保管不善，造成学院国有资产损坏或丢失的，按以下原则处理：</w:t>
      </w:r>
    </w:p>
    <w:p>
      <w:pPr>
        <w:keepNext w:val="0"/>
        <w:keepLines w:val="0"/>
        <w:pageBreakBefore w:val="0"/>
        <w:kinsoku/>
        <w:wordWrap/>
        <w:overflowPunct/>
        <w:topLinePunct w:val="0"/>
        <w:bidi w:val="0"/>
        <w:snapToGrid/>
        <w:spacing w:line="580" w:lineRule="exact"/>
        <w:ind w:firstLine="640" w:firstLineChars="200"/>
        <w:textAlignment w:val="auto"/>
        <w:rPr>
          <w:rFonts w:hint="eastAsia" w:ascii="楷体_GB2312" w:hAnsi="楷体_GB2312" w:eastAsia="楷体_GB2312" w:cs="楷体_GB2312"/>
          <w:sz w:val="32"/>
          <w:szCs w:val="32"/>
          <w:highlight w:val="yellow"/>
          <w:u w:val="none" w:color="auto"/>
        </w:rPr>
      </w:pPr>
      <w:r>
        <w:rPr>
          <w:rFonts w:hint="eastAsia" w:ascii="楷体_GB2312" w:hAnsi="楷体_GB2312" w:eastAsia="楷体_GB2312" w:cs="楷体_GB2312"/>
          <w:sz w:val="32"/>
          <w:szCs w:val="32"/>
          <w:highlight w:val="none"/>
          <w:u w:val="none" w:color="auto"/>
        </w:rPr>
        <w:t>（一）以下原因造成学院国有资产损坏或丢失，应进行赔偿：</w:t>
      </w:r>
    </w:p>
    <w:p>
      <w:pPr>
        <w:keepNext w:val="0"/>
        <w:keepLines w:val="0"/>
        <w:pageBreakBefore w:val="0"/>
        <w:kinsoku/>
        <w:wordWrap/>
        <w:overflowPunct/>
        <w:topLinePunct w:val="0"/>
        <w:bidi w:val="0"/>
        <w:snapToGrid/>
        <w:spacing w:line="580" w:lineRule="exact"/>
        <w:ind w:firstLine="640" w:firstLineChars="200"/>
        <w:textAlignment w:val="auto"/>
        <w:rPr>
          <w:rFonts w:ascii="仿宋_GB2312" w:eastAsia="仿宋_GB2312"/>
          <w:sz w:val="32"/>
          <w:szCs w:val="32"/>
          <w:u w:val="none" w:color="auto"/>
        </w:rPr>
      </w:pPr>
      <w:r>
        <w:rPr>
          <w:rFonts w:ascii="仿宋_GB2312" w:eastAsia="仿宋_GB2312"/>
          <w:sz w:val="32"/>
          <w:szCs w:val="32"/>
          <w:u w:val="none" w:color="auto"/>
        </w:rPr>
        <w:t>1.违反操作</w:t>
      </w:r>
      <w:r>
        <w:rPr>
          <w:rFonts w:hint="eastAsia" w:ascii="仿宋_GB2312" w:eastAsia="仿宋_GB2312"/>
          <w:sz w:val="32"/>
          <w:szCs w:val="32"/>
          <w:u w:val="none" w:color="auto"/>
        </w:rPr>
        <w:t>导致</w:t>
      </w:r>
      <w:r>
        <w:rPr>
          <w:rFonts w:ascii="仿宋_GB2312" w:eastAsia="仿宋_GB2312"/>
          <w:sz w:val="32"/>
          <w:szCs w:val="32"/>
          <w:u w:val="none" w:color="auto"/>
        </w:rPr>
        <w:t>资产设备损坏；</w:t>
      </w:r>
    </w:p>
    <w:p>
      <w:pPr>
        <w:keepNext w:val="0"/>
        <w:keepLines w:val="0"/>
        <w:pageBreakBefore w:val="0"/>
        <w:kinsoku/>
        <w:wordWrap/>
        <w:overflowPunct/>
        <w:topLinePunct w:val="0"/>
        <w:bidi w:val="0"/>
        <w:snapToGrid/>
        <w:spacing w:line="580" w:lineRule="exact"/>
        <w:ind w:firstLine="640" w:firstLineChars="200"/>
        <w:textAlignment w:val="auto"/>
        <w:rPr>
          <w:rFonts w:ascii="仿宋_GB2312" w:eastAsia="仿宋_GB2312"/>
          <w:sz w:val="32"/>
          <w:szCs w:val="32"/>
          <w:u w:val="none" w:color="auto"/>
        </w:rPr>
      </w:pPr>
      <w:r>
        <w:rPr>
          <w:rFonts w:ascii="仿宋_GB2312" w:eastAsia="仿宋_GB2312"/>
          <w:sz w:val="32"/>
          <w:szCs w:val="32"/>
          <w:u w:val="none" w:color="auto"/>
        </w:rPr>
        <w:t>2.未经批准</w:t>
      </w:r>
      <w:r>
        <w:rPr>
          <w:rFonts w:hint="eastAsia" w:ascii="仿宋_GB2312" w:eastAsia="仿宋_GB2312"/>
          <w:sz w:val="32"/>
          <w:szCs w:val="32"/>
          <w:u w:val="none" w:color="auto"/>
        </w:rPr>
        <w:t>，</w:t>
      </w:r>
      <w:r>
        <w:rPr>
          <w:rFonts w:ascii="仿宋_GB2312" w:eastAsia="仿宋_GB2312"/>
          <w:sz w:val="32"/>
          <w:szCs w:val="32"/>
          <w:u w:val="none" w:color="auto"/>
        </w:rPr>
        <w:t>擅自动用或拆卸，导致资产设备损坏；</w:t>
      </w:r>
    </w:p>
    <w:p>
      <w:pPr>
        <w:keepNext w:val="0"/>
        <w:keepLines w:val="0"/>
        <w:pageBreakBefore w:val="0"/>
        <w:kinsoku/>
        <w:wordWrap/>
        <w:overflowPunct/>
        <w:topLinePunct w:val="0"/>
        <w:bidi w:val="0"/>
        <w:snapToGrid/>
        <w:spacing w:line="580" w:lineRule="exact"/>
        <w:ind w:firstLine="640" w:firstLineChars="200"/>
        <w:textAlignment w:val="auto"/>
        <w:rPr>
          <w:rFonts w:ascii="仿宋_GB2312" w:eastAsia="仿宋_GB2312"/>
          <w:sz w:val="32"/>
          <w:szCs w:val="32"/>
          <w:u w:val="none" w:color="auto"/>
        </w:rPr>
      </w:pPr>
      <w:r>
        <w:rPr>
          <w:rFonts w:ascii="仿宋_GB2312" w:eastAsia="仿宋_GB2312"/>
          <w:sz w:val="32"/>
          <w:szCs w:val="32"/>
          <w:u w:val="none" w:color="auto"/>
        </w:rPr>
        <w:t>3.工作失职，指导错误，纠正不及时或保管不当造成损坏；</w:t>
      </w:r>
    </w:p>
    <w:p>
      <w:pPr>
        <w:keepNext w:val="0"/>
        <w:keepLines w:val="0"/>
        <w:pageBreakBefore w:val="0"/>
        <w:kinsoku/>
        <w:wordWrap/>
        <w:overflowPunct/>
        <w:topLinePunct w:val="0"/>
        <w:bidi w:val="0"/>
        <w:snapToGrid/>
        <w:spacing w:line="580" w:lineRule="exact"/>
        <w:ind w:firstLine="640" w:firstLineChars="200"/>
        <w:textAlignment w:val="auto"/>
        <w:rPr>
          <w:rFonts w:ascii="仿宋_GB2312" w:eastAsia="仿宋_GB2312"/>
          <w:sz w:val="32"/>
          <w:szCs w:val="32"/>
          <w:u w:val="none" w:color="auto"/>
        </w:rPr>
      </w:pPr>
      <w:r>
        <w:rPr>
          <w:rFonts w:ascii="仿宋_GB2312" w:eastAsia="仿宋_GB2312"/>
          <w:sz w:val="32"/>
          <w:szCs w:val="32"/>
          <w:u w:val="none" w:color="auto"/>
        </w:rPr>
        <w:t>4.未经批准，擅自将资产设备携出校外造成损坏或丢失；</w:t>
      </w:r>
    </w:p>
    <w:p>
      <w:pPr>
        <w:keepNext w:val="0"/>
        <w:keepLines w:val="0"/>
        <w:pageBreakBefore w:val="0"/>
        <w:kinsoku/>
        <w:wordWrap/>
        <w:overflowPunct/>
        <w:topLinePunct w:val="0"/>
        <w:bidi w:val="0"/>
        <w:snapToGrid/>
        <w:spacing w:line="580" w:lineRule="exact"/>
        <w:ind w:firstLine="640" w:firstLineChars="200"/>
        <w:textAlignment w:val="auto"/>
        <w:rPr>
          <w:rFonts w:ascii="仿宋_GB2312" w:eastAsia="仿宋_GB2312"/>
          <w:sz w:val="32"/>
          <w:szCs w:val="32"/>
          <w:u w:val="none" w:color="auto"/>
        </w:rPr>
      </w:pPr>
      <w:r>
        <w:rPr>
          <w:rFonts w:ascii="仿宋_GB2312" w:eastAsia="仿宋_GB2312"/>
          <w:sz w:val="32"/>
          <w:szCs w:val="32"/>
          <w:u w:val="none" w:color="auto"/>
        </w:rPr>
        <w:t>5.属个人保管、使用的便携设备造成丢失。</w:t>
      </w:r>
    </w:p>
    <w:p>
      <w:pPr>
        <w:keepNext w:val="0"/>
        <w:keepLines w:val="0"/>
        <w:pageBreakBefore w:val="0"/>
        <w:kinsoku/>
        <w:wordWrap/>
        <w:overflowPunct/>
        <w:topLinePunct w:val="0"/>
        <w:bidi w:val="0"/>
        <w:snapToGrid/>
        <w:spacing w:line="580" w:lineRule="exact"/>
        <w:ind w:firstLine="640" w:firstLineChars="200"/>
        <w:textAlignment w:val="auto"/>
        <w:rPr>
          <w:rFonts w:hint="eastAsia" w:ascii="楷体_GB2312" w:hAnsi="楷体_GB2312" w:eastAsia="楷体_GB2312" w:cs="楷体_GB2312"/>
          <w:sz w:val="32"/>
          <w:szCs w:val="32"/>
          <w:u w:val="none" w:color="auto"/>
        </w:rPr>
      </w:pPr>
      <w:r>
        <w:rPr>
          <w:rFonts w:hint="eastAsia" w:ascii="楷体_GB2312" w:hAnsi="楷体_GB2312" w:eastAsia="楷体_GB2312" w:cs="楷体_GB2312"/>
          <w:sz w:val="32"/>
          <w:szCs w:val="32"/>
          <w:u w:val="none" w:color="auto"/>
        </w:rPr>
        <w:t>（二）下列客观原因造成</w:t>
      </w:r>
      <w:r>
        <w:rPr>
          <w:rFonts w:hint="eastAsia" w:ascii="楷体_GB2312" w:hAnsi="楷体_GB2312" w:eastAsia="楷体_GB2312" w:cs="楷体_GB2312"/>
          <w:sz w:val="32"/>
          <w:szCs w:val="32"/>
          <w:u w:val="none" w:color="auto"/>
          <w:lang w:eastAsia="zh-CN"/>
        </w:rPr>
        <w:t>国有</w:t>
      </w:r>
      <w:r>
        <w:rPr>
          <w:rFonts w:hint="eastAsia" w:ascii="楷体_GB2312" w:hAnsi="楷体_GB2312" w:eastAsia="楷体_GB2312" w:cs="楷体_GB2312"/>
          <w:sz w:val="32"/>
          <w:szCs w:val="32"/>
          <w:u w:val="none" w:color="auto"/>
        </w:rPr>
        <w:t>资产损坏和丢失，经过鉴定或证实，可不赔偿：</w:t>
      </w:r>
    </w:p>
    <w:p>
      <w:pPr>
        <w:keepNext w:val="0"/>
        <w:keepLines w:val="0"/>
        <w:pageBreakBefore w:val="0"/>
        <w:kinsoku/>
        <w:wordWrap/>
        <w:overflowPunct/>
        <w:topLinePunct w:val="0"/>
        <w:bidi w:val="0"/>
        <w:snapToGrid/>
        <w:spacing w:line="580" w:lineRule="exact"/>
        <w:ind w:firstLine="640" w:firstLineChars="200"/>
        <w:textAlignment w:val="auto"/>
        <w:rPr>
          <w:rFonts w:ascii="仿宋_GB2312" w:eastAsia="仿宋_GB2312"/>
          <w:sz w:val="32"/>
          <w:szCs w:val="32"/>
          <w:u w:val="none" w:color="auto"/>
        </w:rPr>
      </w:pPr>
      <w:r>
        <w:rPr>
          <w:rFonts w:ascii="仿宋_GB2312" w:eastAsia="仿宋_GB2312"/>
          <w:sz w:val="32"/>
          <w:szCs w:val="32"/>
          <w:u w:val="none" w:color="auto"/>
        </w:rPr>
        <w:t>1.因技术实验操作本身的特殊性（包括设备的检修、试运行等），造成不可预见性的损坏；</w:t>
      </w:r>
    </w:p>
    <w:p>
      <w:pPr>
        <w:keepNext w:val="0"/>
        <w:keepLines w:val="0"/>
        <w:pageBreakBefore w:val="0"/>
        <w:kinsoku/>
        <w:wordWrap/>
        <w:overflowPunct/>
        <w:topLinePunct w:val="0"/>
        <w:bidi w:val="0"/>
        <w:snapToGrid/>
        <w:spacing w:line="580" w:lineRule="exact"/>
        <w:ind w:firstLine="640" w:firstLineChars="200"/>
        <w:textAlignment w:val="auto"/>
        <w:rPr>
          <w:rFonts w:ascii="仿宋_GB2312" w:eastAsia="仿宋_GB2312"/>
          <w:sz w:val="32"/>
          <w:szCs w:val="32"/>
          <w:u w:val="none" w:color="auto"/>
        </w:rPr>
      </w:pPr>
      <w:r>
        <w:rPr>
          <w:rFonts w:ascii="仿宋_GB2312" w:eastAsia="仿宋_GB2312"/>
          <w:sz w:val="32"/>
          <w:szCs w:val="32"/>
          <w:u w:val="none" w:color="auto"/>
        </w:rPr>
        <w:t>2.由于资产设备本身的质量问题（如残损、缺陷、老化等），造成正常使用中的损坏；</w:t>
      </w:r>
    </w:p>
    <w:p>
      <w:pPr>
        <w:keepNext w:val="0"/>
        <w:keepLines w:val="0"/>
        <w:pageBreakBefore w:val="0"/>
        <w:kinsoku/>
        <w:wordWrap/>
        <w:overflowPunct/>
        <w:topLinePunct w:val="0"/>
        <w:bidi w:val="0"/>
        <w:snapToGrid/>
        <w:spacing w:line="580" w:lineRule="exact"/>
        <w:ind w:firstLine="640" w:firstLineChars="200"/>
        <w:textAlignment w:val="auto"/>
        <w:rPr>
          <w:rFonts w:ascii="仿宋_GB2312" w:eastAsia="仿宋_GB2312"/>
          <w:sz w:val="32"/>
          <w:szCs w:val="32"/>
          <w:u w:val="none" w:color="auto"/>
        </w:rPr>
      </w:pPr>
      <w:r>
        <w:rPr>
          <w:rFonts w:ascii="仿宋_GB2312" w:eastAsia="仿宋_GB2312"/>
          <w:sz w:val="32"/>
          <w:szCs w:val="32"/>
          <w:u w:val="none" w:color="auto"/>
        </w:rPr>
        <w:t>3.由于其它合理的客观原因（如停电、停水、外接电源故障、自然灾害等）造成的意外损坏、损失；</w:t>
      </w:r>
    </w:p>
    <w:p>
      <w:pPr>
        <w:keepNext w:val="0"/>
        <w:keepLines w:val="0"/>
        <w:pageBreakBefore w:val="0"/>
        <w:kinsoku/>
        <w:wordWrap/>
        <w:overflowPunct/>
        <w:topLinePunct w:val="0"/>
        <w:bidi w:val="0"/>
        <w:snapToGrid/>
        <w:spacing w:line="580" w:lineRule="exact"/>
        <w:ind w:firstLine="640" w:firstLineChars="200"/>
        <w:textAlignment w:val="auto"/>
        <w:rPr>
          <w:rFonts w:ascii="仿宋_GB2312" w:eastAsia="仿宋_GB2312"/>
          <w:sz w:val="32"/>
          <w:szCs w:val="32"/>
          <w:u w:val="none" w:color="auto"/>
        </w:rPr>
      </w:pPr>
      <w:r>
        <w:rPr>
          <w:rFonts w:ascii="仿宋_GB2312" w:eastAsia="仿宋_GB2312"/>
          <w:sz w:val="32"/>
          <w:szCs w:val="32"/>
          <w:u w:val="none" w:color="auto"/>
        </w:rPr>
        <w:t>4.由于操作难度大，并确已采取必要的措施，但仍难以避免发生的损坏；</w:t>
      </w:r>
    </w:p>
    <w:p>
      <w:pPr>
        <w:keepNext w:val="0"/>
        <w:keepLines w:val="0"/>
        <w:pageBreakBefore w:val="0"/>
        <w:kinsoku/>
        <w:wordWrap/>
        <w:overflowPunct/>
        <w:topLinePunct w:val="0"/>
        <w:bidi w:val="0"/>
        <w:snapToGrid/>
        <w:spacing w:line="580" w:lineRule="exact"/>
        <w:ind w:firstLine="640" w:firstLineChars="200"/>
        <w:textAlignment w:val="auto"/>
        <w:rPr>
          <w:rFonts w:ascii="仿宋_GB2312" w:eastAsia="仿宋_GB2312"/>
          <w:sz w:val="32"/>
          <w:szCs w:val="32"/>
          <w:u w:val="none" w:color="auto"/>
        </w:rPr>
      </w:pPr>
      <w:r>
        <w:rPr>
          <w:rFonts w:ascii="仿宋_GB2312" w:eastAsia="仿宋_GB2312"/>
          <w:sz w:val="32"/>
          <w:szCs w:val="32"/>
          <w:u w:val="none" w:color="auto"/>
        </w:rPr>
        <w:t>5.保管工作中正常的盘亏，如采取了保护措施仍无法避免的</w:t>
      </w:r>
      <w:r>
        <w:rPr>
          <w:rFonts w:hint="eastAsia" w:ascii="仿宋_GB2312" w:eastAsia="仿宋_GB2312"/>
          <w:sz w:val="32"/>
          <w:szCs w:val="32"/>
          <w:u w:val="none" w:color="auto"/>
        </w:rPr>
        <w:t>霉变、</w:t>
      </w:r>
      <w:r>
        <w:rPr>
          <w:rFonts w:ascii="仿宋_GB2312" w:eastAsia="仿宋_GB2312"/>
          <w:sz w:val="32"/>
          <w:szCs w:val="32"/>
          <w:u w:val="none" w:color="auto"/>
        </w:rPr>
        <w:t>锈蚀、虫蛀、鼠咬等；</w:t>
      </w:r>
    </w:p>
    <w:p>
      <w:pPr>
        <w:keepNext w:val="0"/>
        <w:keepLines w:val="0"/>
        <w:pageBreakBefore w:val="0"/>
        <w:kinsoku/>
        <w:wordWrap/>
        <w:overflowPunct/>
        <w:topLinePunct w:val="0"/>
        <w:bidi w:val="0"/>
        <w:snapToGrid/>
        <w:spacing w:line="580" w:lineRule="exact"/>
        <w:ind w:firstLine="640" w:firstLineChars="200"/>
        <w:textAlignment w:val="auto"/>
        <w:rPr>
          <w:rFonts w:ascii="仿宋_GB2312" w:eastAsia="仿宋_GB2312"/>
          <w:sz w:val="32"/>
          <w:szCs w:val="32"/>
          <w:u w:val="none" w:color="auto"/>
        </w:rPr>
      </w:pPr>
      <w:r>
        <w:rPr>
          <w:rFonts w:ascii="仿宋_GB2312" w:eastAsia="仿宋_GB2312"/>
          <w:sz w:val="32"/>
          <w:szCs w:val="32"/>
          <w:u w:val="none" w:color="auto"/>
        </w:rPr>
        <w:t>6.已采取必要的防范措施或在不可控情形下发生的资产设备被抢被盗；</w:t>
      </w:r>
    </w:p>
    <w:p>
      <w:pPr>
        <w:keepNext w:val="0"/>
        <w:keepLines w:val="0"/>
        <w:pageBreakBefore w:val="0"/>
        <w:kinsoku/>
        <w:wordWrap/>
        <w:overflowPunct/>
        <w:topLinePunct w:val="0"/>
        <w:bidi w:val="0"/>
        <w:snapToGrid/>
        <w:spacing w:line="580" w:lineRule="exact"/>
        <w:ind w:firstLine="640" w:firstLineChars="200"/>
        <w:textAlignment w:val="auto"/>
        <w:rPr>
          <w:rFonts w:ascii="仿宋_GB2312" w:eastAsia="仿宋_GB2312"/>
          <w:sz w:val="32"/>
          <w:szCs w:val="32"/>
          <w:u w:val="none" w:color="auto"/>
        </w:rPr>
      </w:pPr>
      <w:r>
        <w:rPr>
          <w:rFonts w:hint="eastAsia" w:ascii="仿宋_GB2312" w:eastAsia="仿宋_GB2312"/>
          <w:sz w:val="32"/>
          <w:szCs w:val="32"/>
          <w:u w:val="none" w:color="auto"/>
        </w:rPr>
        <w:t>7.属于</w:t>
      </w:r>
      <w:r>
        <w:rPr>
          <w:rFonts w:hint="eastAsia" w:ascii="仿宋_GB2312" w:eastAsia="仿宋_GB2312"/>
          <w:b w:val="0"/>
          <w:bCs w:val="0"/>
          <w:color w:val="auto"/>
          <w:sz w:val="32"/>
          <w:szCs w:val="32"/>
          <w:u w:val="none" w:color="auto"/>
        </w:rPr>
        <w:t>低值设备(</w:t>
      </w:r>
      <w:r>
        <w:rPr>
          <w:rFonts w:hint="eastAsia" w:ascii="仿宋_GB2312" w:eastAsia="仿宋_GB2312"/>
          <w:b w:val="0"/>
          <w:bCs w:val="0"/>
          <w:color w:val="auto"/>
          <w:sz w:val="32"/>
          <w:szCs w:val="32"/>
          <w:u w:val="none" w:color="auto"/>
          <w:lang w:eastAsia="zh-CN"/>
        </w:rPr>
        <w:t>价值</w:t>
      </w:r>
      <w:r>
        <w:rPr>
          <w:rFonts w:hint="eastAsia" w:ascii="仿宋_GB2312" w:eastAsia="仿宋_GB2312"/>
          <w:b w:val="0"/>
          <w:bCs w:val="0"/>
          <w:color w:val="auto"/>
          <w:sz w:val="32"/>
          <w:szCs w:val="32"/>
          <w:u w:val="none" w:color="auto"/>
          <w:lang w:val="en-US" w:eastAsia="zh-CN"/>
        </w:rPr>
        <w:t>1</w:t>
      </w:r>
      <w:r>
        <w:rPr>
          <w:rFonts w:hint="eastAsia" w:ascii="仿宋_GB2312" w:eastAsia="仿宋_GB2312"/>
          <w:b w:val="0"/>
          <w:bCs w:val="0"/>
          <w:color w:val="auto"/>
          <w:sz w:val="32"/>
          <w:szCs w:val="32"/>
          <w:u w:val="none" w:color="auto"/>
        </w:rPr>
        <w:t>000元以下)</w:t>
      </w:r>
      <w:r>
        <w:rPr>
          <w:rFonts w:hint="eastAsia" w:ascii="仿宋_GB2312" w:eastAsia="仿宋_GB2312"/>
          <w:sz w:val="32"/>
          <w:szCs w:val="32"/>
          <w:u w:val="none" w:color="auto"/>
        </w:rPr>
        <w:t>且超过使用年限；</w:t>
      </w:r>
    </w:p>
    <w:p>
      <w:pPr>
        <w:keepNext w:val="0"/>
        <w:keepLines w:val="0"/>
        <w:pageBreakBefore w:val="0"/>
        <w:kinsoku/>
        <w:wordWrap/>
        <w:overflowPunct/>
        <w:topLinePunct w:val="0"/>
        <w:bidi w:val="0"/>
        <w:snapToGrid/>
        <w:spacing w:line="580" w:lineRule="exact"/>
        <w:ind w:firstLine="640" w:firstLineChars="200"/>
        <w:textAlignment w:val="auto"/>
        <w:rPr>
          <w:rFonts w:ascii="仿宋_GB2312" w:eastAsia="仿宋_GB2312"/>
          <w:sz w:val="32"/>
          <w:szCs w:val="32"/>
          <w:u w:val="none" w:color="auto"/>
        </w:rPr>
      </w:pPr>
      <w:r>
        <w:rPr>
          <w:rFonts w:hint="eastAsia" w:ascii="仿宋_GB2312" w:eastAsia="仿宋_GB2312"/>
          <w:sz w:val="32"/>
          <w:szCs w:val="32"/>
          <w:u w:val="none" w:color="auto"/>
        </w:rPr>
        <w:t>8</w:t>
      </w:r>
      <w:r>
        <w:rPr>
          <w:rFonts w:ascii="仿宋_GB2312" w:eastAsia="仿宋_GB2312"/>
          <w:sz w:val="32"/>
          <w:szCs w:val="32"/>
          <w:u w:val="none" w:color="auto"/>
        </w:rPr>
        <w:t>.经</w:t>
      </w:r>
      <w:r>
        <w:rPr>
          <w:rFonts w:hint="eastAsia" w:ascii="仿宋_GB2312" w:eastAsia="仿宋_GB2312"/>
          <w:sz w:val="32"/>
          <w:szCs w:val="32"/>
          <w:u w:val="none" w:color="auto"/>
        </w:rPr>
        <w:t>资产管理处组织</w:t>
      </w:r>
      <w:r>
        <w:rPr>
          <w:rFonts w:ascii="仿宋_GB2312" w:eastAsia="仿宋_GB2312"/>
          <w:sz w:val="32"/>
          <w:szCs w:val="32"/>
          <w:u w:val="none" w:color="auto"/>
        </w:rPr>
        <w:t>专家鉴定</w:t>
      </w:r>
      <w:r>
        <w:rPr>
          <w:rFonts w:hint="eastAsia" w:ascii="仿宋_GB2312" w:eastAsia="仿宋_GB2312"/>
          <w:sz w:val="32"/>
          <w:szCs w:val="32"/>
          <w:u w:val="none" w:color="auto"/>
        </w:rPr>
        <w:t>可以免于赔偿的其他情形</w:t>
      </w:r>
      <w:r>
        <w:rPr>
          <w:rFonts w:ascii="仿宋_GB2312" w:eastAsia="仿宋_GB2312"/>
          <w:sz w:val="32"/>
          <w:szCs w:val="32"/>
          <w:u w:val="none" w:color="auto"/>
        </w:rPr>
        <w:t>。</w:t>
      </w:r>
    </w:p>
    <w:p>
      <w:pPr>
        <w:keepNext w:val="0"/>
        <w:keepLines w:val="0"/>
        <w:pageBreakBefore w:val="0"/>
        <w:kinsoku/>
        <w:wordWrap/>
        <w:overflowPunct/>
        <w:topLinePunct w:val="0"/>
        <w:bidi w:val="0"/>
        <w:snapToGrid/>
        <w:spacing w:line="580" w:lineRule="exact"/>
        <w:ind w:firstLine="640" w:firstLineChars="200"/>
        <w:textAlignment w:val="auto"/>
        <w:rPr>
          <w:rFonts w:hint="eastAsia" w:ascii="楷体_GB2312" w:hAnsi="楷体_GB2312" w:eastAsia="楷体_GB2312" w:cs="楷体_GB2312"/>
          <w:sz w:val="32"/>
          <w:szCs w:val="32"/>
          <w:u w:val="none" w:color="auto"/>
        </w:rPr>
      </w:pPr>
      <w:r>
        <w:rPr>
          <w:rFonts w:hint="eastAsia" w:ascii="楷体_GB2312" w:hAnsi="楷体_GB2312" w:eastAsia="楷体_GB2312" w:cs="楷体_GB2312"/>
          <w:sz w:val="32"/>
          <w:szCs w:val="32"/>
          <w:u w:val="none" w:color="auto"/>
        </w:rPr>
        <w:t>（三）</w:t>
      </w:r>
      <w:r>
        <w:rPr>
          <w:rFonts w:hint="eastAsia" w:ascii="楷体_GB2312" w:hAnsi="楷体_GB2312" w:eastAsia="楷体_GB2312" w:cs="楷体_GB2312"/>
          <w:sz w:val="32"/>
          <w:szCs w:val="32"/>
          <w:u w:val="none" w:color="auto"/>
          <w:lang w:eastAsia="zh-CN"/>
        </w:rPr>
        <w:t>国有</w:t>
      </w:r>
      <w:r>
        <w:rPr>
          <w:rFonts w:hint="eastAsia" w:ascii="楷体_GB2312" w:hAnsi="楷体_GB2312" w:eastAsia="楷体_GB2312" w:cs="楷体_GB2312"/>
          <w:sz w:val="32"/>
          <w:szCs w:val="32"/>
          <w:u w:val="none" w:color="auto"/>
        </w:rPr>
        <w:t>资产</w:t>
      </w:r>
      <w:r>
        <w:rPr>
          <w:rFonts w:hint="eastAsia" w:ascii="楷体_GB2312" w:hAnsi="楷体_GB2312" w:eastAsia="楷体_GB2312" w:cs="楷体_GB2312"/>
          <w:sz w:val="32"/>
          <w:szCs w:val="32"/>
          <w:u w:val="none" w:color="auto"/>
          <w:lang w:eastAsia="zh-CN"/>
        </w:rPr>
        <w:t>损坏</w:t>
      </w:r>
      <w:r>
        <w:rPr>
          <w:rFonts w:hint="eastAsia" w:ascii="楷体_GB2312" w:hAnsi="楷体_GB2312" w:eastAsia="楷体_GB2312" w:cs="楷体_GB2312"/>
          <w:sz w:val="32"/>
          <w:szCs w:val="32"/>
          <w:u w:val="none" w:color="auto"/>
        </w:rPr>
        <w:t>或</w:t>
      </w:r>
      <w:r>
        <w:rPr>
          <w:rFonts w:hint="eastAsia" w:ascii="楷体_GB2312" w:hAnsi="楷体_GB2312" w:eastAsia="楷体_GB2312" w:cs="楷体_GB2312"/>
          <w:sz w:val="32"/>
          <w:szCs w:val="32"/>
          <w:u w:val="none" w:color="auto"/>
          <w:lang w:eastAsia="zh-CN"/>
        </w:rPr>
        <w:t>丢失</w:t>
      </w:r>
      <w:r>
        <w:rPr>
          <w:rFonts w:hint="eastAsia" w:ascii="楷体_GB2312" w:hAnsi="楷体_GB2312" w:eastAsia="楷体_GB2312" w:cs="楷体_GB2312"/>
          <w:sz w:val="32"/>
          <w:szCs w:val="32"/>
          <w:u w:val="none" w:color="auto"/>
        </w:rPr>
        <w:t>时，对赔偿责任人的认定：</w:t>
      </w:r>
    </w:p>
    <w:p>
      <w:pPr>
        <w:keepNext w:val="0"/>
        <w:keepLines w:val="0"/>
        <w:pageBreakBefore w:val="0"/>
        <w:kinsoku/>
        <w:wordWrap/>
        <w:overflowPunct/>
        <w:topLinePunct w:val="0"/>
        <w:bidi w:val="0"/>
        <w:snapToGrid/>
        <w:spacing w:line="580" w:lineRule="exact"/>
        <w:ind w:firstLine="640" w:firstLineChars="200"/>
        <w:textAlignment w:val="auto"/>
        <w:rPr>
          <w:rFonts w:ascii="仿宋_GB2312" w:eastAsia="仿宋_GB2312"/>
          <w:sz w:val="32"/>
          <w:szCs w:val="32"/>
          <w:u w:val="none" w:color="auto"/>
        </w:rPr>
      </w:pPr>
      <w:r>
        <w:rPr>
          <w:rFonts w:ascii="仿宋_GB2312" w:eastAsia="仿宋_GB2312"/>
          <w:sz w:val="32"/>
          <w:szCs w:val="32"/>
          <w:u w:val="none" w:color="auto"/>
        </w:rPr>
        <w:t>1.导致资产设备</w:t>
      </w:r>
      <w:r>
        <w:rPr>
          <w:rFonts w:hint="eastAsia" w:ascii="仿宋_GB2312" w:eastAsia="仿宋_GB2312"/>
          <w:sz w:val="32"/>
          <w:szCs w:val="32"/>
          <w:u w:val="none" w:color="auto"/>
          <w:lang w:eastAsia="zh-CN"/>
        </w:rPr>
        <w:t>损失</w:t>
      </w:r>
      <w:r>
        <w:rPr>
          <w:rFonts w:ascii="仿宋_GB2312" w:eastAsia="仿宋_GB2312"/>
          <w:sz w:val="32"/>
          <w:szCs w:val="32"/>
          <w:u w:val="none" w:color="auto"/>
        </w:rPr>
        <w:t>、</w:t>
      </w:r>
      <w:r>
        <w:rPr>
          <w:rFonts w:hint="eastAsia" w:ascii="仿宋_GB2312" w:eastAsia="仿宋_GB2312"/>
          <w:sz w:val="32"/>
          <w:szCs w:val="32"/>
          <w:u w:val="none" w:color="auto"/>
          <w:lang w:eastAsia="zh-CN"/>
        </w:rPr>
        <w:t>丢失</w:t>
      </w:r>
      <w:r>
        <w:rPr>
          <w:rFonts w:ascii="仿宋_GB2312" w:eastAsia="仿宋_GB2312"/>
          <w:sz w:val="32"/>
          <w:szCs w:val="32"/>
          <w:u w:val="none" w:color="auto"/>
        </w:rPr>
        <w:t>的直接责任人；</w:t>
      </w:r>
    </w:p>
    <w:p>
      <w:pPr>
        <w:keepNext w:val="0"/>
        <w:keepLines w:val="0"/>
        <w:pageBreakBefore w:val="0"/>
        <w:kinsoku/>
        <w:wordWrap/>
        <w:overflowPunct/>
        <w:topLinePunct w:val="0"/>
        <w:bidi w:val="0"/>
        <w:snapToGrid/>
        <w:spacing w:line="580" w:lineRule="exact"/>
        <w:ind w:firstLine="640" w:firstLineChars="200"/>
        <w:textAlignment w:val="auto"/>
        <w:rPr>
          <w:rFonts w:ascii="仿宋_GB2312" w:eastAsia="仿宋_GB2312"/>
          <w:sz w:val="32"/>
          <w:szCs w:val="32"/>
          <w:u w:val="none" w:color="auto"/>
        </w:rPr>
      </w:pPr>
      <w:r>
        <w:rPr>
          <w:rFonts w:ascii="仿宋_GB2312" w:eastAsia="仿宋_GB2312"/>
          <w:sz w:val="32"/>
          <w:szCs w:val="32"/>
          <w:u w:val="none" w:color="auto"/>
        </w:rPr>
        <w:t>2.若无直接责任人，由资产设备保管人员承担责任；</w:t>
      </w:r>
    </w:p>
    <w:p>
      <w:pPr>
        <w:keepNext w:val="0"/>
        <w:keepLines w:val="0"/>
        <w:pageBreakBefore w:val="0"/>
        <w:kinsoku/>
        <w:wordWrap/>
        <w:overflowPunct/>
        <w:topLinePunct w:val="0"/>
        <w:bidi w:val="0"/>
        <w:snapToGrid/>
        <w:spacing w:line="580" w:lineRule="exact"/>
        <w:ind w:firstLine="640" w:firstLineChars="200"/>
        <w:textAlignment w:val="auto"/>
        <w:rPr>
          <w:rFonts w:ascii="仿宋_GB2312" w:eastAsia="仿宋_GB2312"/>
          <w:sz w:val="32"/>
          <w:szCs w:val="32"/>
          <w:u w:val="none" w:color="auto"/>
        </w:rPr>
      </w:pPr>
      <w:r>
        <w:rPr>
          <w:rFonts w:ascii="仿宋_GB2312" w:eastAsia="仿宋_GB2312"/>
          <w:sz w:val="32"/>
          <w:szCs w:val="32"/>
          <w:u w:val="none" w:color="auto"/>
        </w:rPr>
        <w:t>3.资产设备送外维修过程中丢失或损坏，由送修人员负责追赔责任；</w:t>
      </w:r>
    </w:p>
    <w:p>
      <w:pPr>
        <w:keepNext w:val="0"/>
        <w:keepLines w:val="0"/>
        <w:pageBreakBefore w:val="0"/>
        <w:kinsoku/>
        <w:wordWrap/>
        <w:overflowPunct/>
        <w:topLinePunct w:val="0"/>
        <w:bidi w:val="0"/>
        <w:snapToGrid/>
        <w:spacing w:line="580" w:lineRule="exact"/>
        <w:ind w:firstLine="640" w:firstLineChars="200"/>
        <w:textAlignment w:val="auto"/>
        <w:rPr>
          <w:rFonts w:ascii="仿宋_GB2312" w:eastAsia="仿宋_GB2312"/>
          <w:sz w:val="32"/>
          <w:szCs w:val="32"/>
          <w:u w:val="none" w:color="auto"/>
        </w:rPr>
      </w:pPr>
      <w:r>
        <w:rPr>
          <w:rFonts w:ascii="仿宋_GB2312" w:eastAsia="仿宋_GB2312"/>
          <w:sz w:val="32"/>
          <w:szCs w:val="32"/>
          <w:u w:val="none" w:color="auto"/>
        </w:rPr>
        <w:t>4.因资产设备保管人员有意拖延、隐瞒不报，导致无法追究赔偿责任的，由</w:t>
      </w:r>
      <w:r>
        <w:rPr>
          <w:rFonts w:hint="eastAsia" w:ascii="仿宋_GB2312" w:eastAsia="仿宋_GB2312"/>
          <w:sz w:val="32"/>
          <w:szCs w:val="32"/>
          <w:u w:val="none" w:color="auto"/>
          <w:lang w:eastAsia="zh-CN"/>
        </w:rPr>
        <w:t>资产设备</w:t>
      </w:r>
      <w:r>
        <w:rPr>
          <w:rFonts w:ascii="仿宋_GB2312" w:eastAsia="仿宋_GB2312"/>
          <w:sz w:val="32"/>
          <w:szCs w:val="32"/>
          <w:u w:val="none" w:color="auto"/>
        </w:rPr>
        <w:t>保管人员承担赔偿责任；</w:t>
      </w:r>
    </w:p>
    <w:p>
      <w:pPr>
        <w:keepNext w:val="0"/>
        <w:keepLines w:val="0"/>
        <w:pageBreakBefore w:val="0"/>
        <w:kinsoku/>
        <w:wordWrap/>
        <w:overflowPunct/>
        <w:topLinePunct w:val="0"/>
        <w:bidi w:val="0"/>
        <w:snapToGrid/>
        <w:spacing w:line="580" w:lineRule="exact"/>
        <w:ind w:firstLine="640" w:firstLineChars="200"/>
        <w:textAlignment w:val="auto"/>
        <w:rPr>
          <w:rFonts w:ascii="仿宋_GB2312" w:eastAsia="仿宋_GB2312"/>
          <w:sz w:val="32"/>
          <w:szCs w:val="32"/>
          <w:u w:val="none" w:color="auto"/>
        </w:rPr>
      </w:pPr>
      <w:r>
        <w:rPr>
          <w:rFonts w:ascii="仿宋_GB2312" w:eastAsia="仿宋_GB2312"/>
          <w:sz w:val="32"/>
          <w:szCs w:val="32"/>
          <w:u w:val="none" w:color="auto"/>
        </w:rPr>
        <w:t>5.损坏、丢失资产设备的责任事故，属于多人共同负责时，应根据责任大小分担赔偿；</w:t>
      </w:r>
    </w:p>
    <w:p>
      <w:pPr>
        <w:keepNext w:val="0"/>
        <w:keepLines w:val="0"/>
        <w:pageBreakBefore w:val="0"/>
        <w:kinsoku/>
        <w:wordWrap/>
        <w:overflowPunct/>
        <w:topLinePunct w:val="0"/>
        <w:bidi w:val="0"/>
        <w:snapToGrid/>
        <w:spacing w:line="580" w:lineRule="exact"/>
        <w:ind w:firstLine="640" w:firstLineChars="200"/>
        <w:textAlignment w:val="auto"/>
        <w:rPr>
          <w:rFonts w:ascii="仿宋_GB2312" w:eastAsia="仿宋_GB2312"/>
          <w:sz w:val="32"/>
          <w:szCs w:val="32"/>
          <w:u w:val="none" w:color="auto"/>
        </w:rPr>
      </w:pPr>
      <w:r>
        <w:rPr>
          <w:rFonts w:ascii="仿宋_GB2312" w:eastAsia="仿宋_GB2312"/>
          <w:sz w:val="32"/>
          <w:szCs w:val="32"/>
          <w:u w:val="none" w:color="auto"/>
        </w:rPr>
        <w:t>6.对于事故原因复杂，难于确定责任人的，由资产管理处组织有关人员分析、鉴定后确认。</w:t>
      </w:r>
    </w:p>
    <w:p>
      <w:pPr>
        <w:keepNext w:val="0"/>
        <w:keepLines w:val="0"/>
        <w:pageBreakBefore w:val="0"/>
        <w:kinsoku/>
        <w:wordWrap/>
        <w:overflowPunct/>
        <w:topLinePunct w:val="0"/>
        <w:bidi w:val="0"/>
        <w:snapToGrid/>
        <w:spacing w:line="580" w:lineRule="exact"/>
        <w:ind w:firstLine="640" w:firstLineChars="200"/>
        <w:textAlignment w:val="auto"/>
        <w:rPr>
          <w:rFonts w:hint="eastAsia" w:ascii="楷体_GB2312" w:hAnsi="楷体_GB2312" w:eastAsia="楷体_GB2312" w:cs="楷体_GB2312"/>
          <w:sz w:val="32"/>
          <w:szCs w:val="32"/>
          <w:u w:val="none" w:color="auto"/>
        </w:rPr>
      </w:pPr>
      <w:r>
        <w:rPr>
          <w:rFonts w:hint="eastAsia" w:ascii="楷体_GB2312" w:hAnsi="楷体_GB2312" w:eastAsia="楷体_GB2312" w:cs="楷体_GB2312"/>
          <w:sz w:val="32"/>
          <w:szCs w:val="32"/>
          <w:u w:val="none" w:color="auto"/>
        </w:rPr>
        <w:t>（四）赔偿责任认定后，赔偿人应在1个月内向计划财务处交纳赔偿金或向使用部门赔偿实物。</w:t>
      </w:r>
    </w:p>
    <w:p>
      <w:pPr>
        <w:keepNext w:val="0"/>
        <w:keepLines w:val="0"/>
        <w:pageBreakBefore w:val="0"/>
        <w:kinsoku/>
        <w:wordWrap/>
        <w:overflowPunct/>
        <w:topLinePunct w:val="0"/>
        <w:bidi w:val="0"/>
        <w:snapToGrid/>
        <w:spacing w:line="580" w:lineRule="exact"/>
        <w:ind w:firstLine="640" w:firstLineChars="200"/>
        <w:textAlignment w:val="auto"/>
        <w:rPr>
          <w:rFonts w:ascii="仿宋_GB2312" w:eastAsia="仿宋_GB2312"/>
          <w:sz w:val="32"/>
          <w:szCs w:val="32"/>
          <w:u w:val="none" w:color="auto"/>
        </w:rPr>
      </w:pPr>
      <w:r>
        <w:rPr>
          <w:rFonts w:ascii="仿宋_GB2312" w:eastAsia="仿宋_GB2312"/>
          <w:sz w:val="32"/>
          <w:szCs w:val="32"/>
          <w:u w:val="none" w:color="auto"/>
        </w:rPr>
        <w:t>1.现金赔偿</w:t>
      </w:r>
    </w:p>
    <w:p>
      <w:pPr>
        <w:keepNext w:val="0"/>
        <w:keepLines w:val="0"/>
        <w:pageBreakBefore w:val="0"/>
        <w:kinsoku/>
        <w:wordWrap/>
        <w:overflowPunct/>
        <w:topLinePunct w:val="0"/>
        <w:bidi w:val="0"/>
        <w:snapToGrid/>
        <w:spacing w:line="580" w:lineRule="exact"/>
        <w:ind w:firstLine="640" w:firstLineChars="200"/>
        <w:textAlignment w:val="auto"/>
        <w:rPr>
          <w:rFonts w:ascii="仿宋_GB2312" w:eastAsia="仿宋_GB2312"/>
          <w:sz w:val="32"/>
          <w:szCs w:val="32"/>
          <w:u w:val="none" w:color="auto"/>
        </w:rPr>
      </w:pPr>
      <w:r>
        <w:rPr>
          <w:rFonts w:ascii="仿宋_GB2312" w:eastAsia="仿宋_GB2312"/>
          <w:sz w:val="32"/>
          <w:szCs w:val="32"/>
          <w:u w:val="none" w:color="auto"/>
        </w:rPr>
        <w:t>（</w:t>
      </w:r>
      <w:r>
        <w:rPr>
          <w:rFonts w:hint="eastAsia" w:ascii="仿宋_GB2312" w:eastAsia="仿宋_GB2312"/>
          <w:sz w:val="32"/>
          <w:szCs w:val="32"/>
          <w:u w:val="none" w:color="auto"/>
        </w:rPr>
        <w:t>1</w:t>
      </w:r>
      <w:r>
        <w:rPr>
          <w:rFonts w:ascii="仿宋_GB2312" w:eastAsia="仿宋_GB2312"/>
          <w:sz w:val="32"/>
          <w:szCs w:val="32"/>
          <w:u w:val="none" w:color="auto"/>
        </w:rPr>
        <w:t>）单位价值在</w:t>
      </w:r>
      <w:r>
        <w:rPr>
          <w:rFonts w:hint="eastAsia" w:ascii="仿宋_GB2312" w:eastAsia="仿宋_GB2312"/>
          <w:sz w:val="32"/>
          <w:szCs w:val="32"/>
          <w:u w:val="none" w:color="auto"/>
          <w:lang w:val="en-US" w:eastAsia="zh-CN"/>
        </w:rPr>
        <w:t>1</w:t>
      </w:r>
      <w:r>
        <w:rPr>
          <w:rFonts w:ascii="仿宋_GB2312" w:eastAsia="仿宋_GB2312"/>
          <w:sz w:val="32"/>
          <w:szCs w:val="32"/>
          <w:u w:val="none" w:color="auto"/>
        </w:rPr>
        <w:t>万元以下的，按</w:t>
      </w:r>
      <w:r>
        <w:rPr>
          <w:rFonts w:hint="eastAsia" w:ascii="仿宋_GB2312" w:eastAsia="仿宋_GB2312"/>
          <w:sz w:val="32"/>
          <w:szCs w:val="32"/>
          <w:u w:val="none" w:color="auto"/>
        </w:rPr>
        <w:t>净值</w:t>
      </w:r>
      <w:r>
        <w:rPr>
          <w:rFonts w:ascii="仿宋_GB2312" w:eastAsia="仿宋_GB2312"/>
          <w:sz w:val="32"/>
          <w:szCs w:val="32"/>
          <w:u w:val="none" w:color="auto"/>
        </w:rPr>
        <w:t>赔偿，使用</w:t>
      </w:r>
      <w:r>
        <w:rPr>
          <w:rFonts w:hint="eastAsia" w:ascii="仿宋_GB2312" w:eastAsia="仿宋_GB2312"/>
          <w:sz w:val="32"/>
          <w:szCs w:val="32"/>
          <w:u w:val="none" w:color="auto"/>
          <w:lang w:val="en-US" w:eastAsia="zh-CN"/>
        </w:rPr>
        <w:t>6</w:t>
      </w:r>
      <w:r>
        <w:rPr>
          <w:rFonts w:ascii="仿宋_GB2312" w:eastAsia="仿宋_GB2312"/>
          <w:sz w:val="32"/>
          <w:szCs w:val="32"/>
          <w:u w:val="none" w:color="auto"/>
        </w:rPr>
        <w:t>年（含）以上的按购置价格的10%赔偿。</w:t>
      </w:r>
      <w:r>
        <w:rPr>
          <w:rFonts w:ascii="仿宋_GB2312" w:hAnsi="仿宋" w:eastAsia="仿宋_GB2312"/>
          <w:sz w:val="32"/>
          <w:szCs w:val="20"/>
          <w:u w:val="none" w:color="auto"/>
        </w:rPr>
        <w:t>保值类贵重资产，按</w:t>
      </w:r>
      <w:r>
        <w:rPr>
          <w:rFonts w:hint="eastAsia" w:ascii="仿宋_GB2312" w:hAnsi="仿宋" w:eastAsia="仿宋_GB2312"/>
          <w:sz w:val="32"/>
          <w:szCs w:val="20"/>
          <w:u w:val="none" w:color="auto"/>
        </w:rPr>
        <w:t>账面价值</w:t>
      </w:r>
      <w:r>
        <w:rPr>
          <w:rFonts w:ascii="仿宋_GB2312" w:hAnsi="仿宋" w:eastAsia="仿宋_GB2312"/>
          <w:sz w:val="32"/>
          <w:szCs w:val="20"/>
          <w:u w:val="none" w:color="auto"/>
        </w:rPr>
        <w:t>100%赔偿。</w:t>
      </w:r>
    </w:p>
    <w:p>
      <w:pPr>
        <w:keepNext w:val="0"/>
        <w:keepLines w:val="0"/>
        <w:pageBreakBefore w:val="0"/>
        <w:kinsoku/>
        <w:wordWrap/>
        <w:overflowPunct/>
        <w:topLinePunct w:val="0"/>
        <w:bidi w:val="0"/>
        <w:snapToGrid/>
        <w:spacing w:line="580" w:lineRule="exact"/>
        <w:ind w:firstLine="640" w:firstLineChars="200"/>
        <w:textAlignment w:val="auto"/>
        <w:rPr>
          <w:rFonts w:ascii="仿宋_GB2312" w:eastAsia="仿宋_GB2312"/>
          <w:sz w:val="32"/>
          <w:szCs w:val="32"/>
          <w:u w:val="none" w:color="auto"/>
        </w:rPr>
      </w:pPr>
      <w:r>
        <w:rPr>
          <w:rFonts w:ascii="仿宋_GB2312" w:eastAsia="仿宋_GB2312"/>
          <w:sz w:val="32"/>
          <w:szCs w:val="32"/>
          <w:u w:val="none" w:color="auto"/>
        </w:rPr>
        <w:t>（</w:t>
      </w:r>
      <w:r>
        <w:rPr>
          <w:rFonts w:hint="eastAsia" w:ascii="仿宋_GB2312" w:eastAsia="仿宋_GB2312"/>
          <w:sz w:val="32"/>
          <w:szCs w:val="32"/>
          <w:u w:val="none" w:color="auto"/>
        </w:rPr>
        <w:t>2</w:t>
      </w:r>
      <w:r>
        <w:rPr>
          <w:rFonts w:ascii="仿宋_GB2312" w:eastAsia="仿宋_GB2312"/>
          <w:sz w:val="32"/>
          <w:szCs w:val="32"/>
          <w:u w:val="none" w:color="auto"/>
        </w:rPr>
        <w:t>）单位价值</w:t>
      </w:r>
      <w:r>
        <w:rPr>
          <w:rFonts w:hint="eastAsia" w:ascii="仿宋_GB2312" w:eastAsia="仿宋_GB2312"/>
          <w:sz w:val="32"/>
          <w:szCs w:val="32"/>
          <w:u w:val="none" w:color="auto"/>
          <w:lang w:val="en-US" w:eastAsia="zh-CN"/>
        </w:rPr>
        <w:t>1</w:t>
      </w:r>
      <w:r>
        <w:rPr>
          <w:rFonts w:ascii="仿宋_GB2312" w:eastAsia="仿宋_GB2312"/>
          <w:sz w:val="32"/>
          <w:szCs w:val="32"/>
          <w:u w:val="none" w:color="auto"/>
        </w:rPr>
        <w:t>万元（含）以上的，经</w:t>
      </w:r>
      <w:r>
        <w:rPr>
          <w:rFonts w:hint="eastAsia" w:ascii="仿宋_GB2312" w:eastAsia="仿宋_GB2312"/>
          <w:sz w:val="32"/>
          <w:szCs w:val="32"/>
          <w:u w:val="none" w:color="auto"/>
          <w:lang w:eastAsia="zh-CN"/>
        </w:rPr>
        <w:t>资产管理处组织</w:t>
      </w:r>
      <w:r>
        <w:rPr>
          <w:rFonts w:ascii="仿宋_GB2312" w:eastAsia="仿宋_GB2312"/>
          <w:sz w:val="32"/>
          <w:szCs w:val="32"/>
          <w:u w:val="none" w:color="auto"/>
        </w:rPr>
        <w:t>鉴定并形成处理意见，</w:t>
      </w:r>
      <w:r>
        <w:rPr>
          <w:rFonts w:hint="eastAsia" w:ascii="仿宋_GB2312" w:eastAsia="仿宋_GB2312"/>
          <w:sz w:val="32"/>
          <w:szCs w:val="32"/>
          <w:u w:val="none" w:color="auto"/>
          <w:lang w:eastAsia="zh-CN"/>
        </w:rPr>
        <w:t>提交学院院长办公会研究</w:t>
      </w:r>
      <w:r>
        <w:rPr>
          <w:rFonts w:ascii="仿宋_GB2312" w:eastAsia="仿宋_GB2312"/>
          <w:sz w:val="32"/>
          <w:szCs w:val="32"/>
          <w:u w:val="none" w:color="auto"/>
        </w:rPr>
        <w:t>确定赔偿金额。</w:t>
      </w:r>
    </w:p>
    <w:p>
      <w:pPr>
        <w:keepNext w:val="0"/>
        <w:keepLines w:val="0"/>
        <w:pageBreakBefore w:val="0"/>
        <w:kinsoku/>
        <w:wordWrap/>
        <w:overflowPunct/>
        <w:topLinePunct w:val="0"/>
        <w:bidi w:val="0"/>
        <w:snapToGrid/>
        <w:spacing w:line="580" w:lineRule="exact"/>
        <w:ind w:firstLine="640" w:firstLineChars="200"/>
        <w:textAlignment w:val="auto"/>
        <w:rPr>
          <w:rFonts w:ascii="仿宋_GB2312" w:eastAsia="仿宋_GB2312"/>
          <w:sz w:val="32"/>
          <w:szCs w:val="32"/>
          <w:u w:val="none" w:color="auto"/>
        </w:rPr>
      </w:pPr>
      <w:r>
        <w:rPr>
          <w:rFonts w:ascii="仿宋_GB2312" w:eastAsia="仿宋_GB2312"/>
          <w:sz w:val="32"/>
          <w:szCs w:val="32"/>
          <w:u w:val="none" w:color="auto"/>
        </w:rPr>
        <w:t>2.实物赔偿</w:t>
      </w:r>
    </w:p>
    <w:p>
      <w:pPr>
        <w:keepNext w:val="0"/>
        <w:keepLines w:val="0"/>
        <w:pageBreakBefore w:val="0"/>
        <w:kinsoku/>
        <w:wordWrap/>
        <w:overflowPunct/>
        <w:topLinePunct w:val="0"/>
        <w:bidi w:val="0"/>
        <w:snapToGrid/>
        <w:spacing w:line="580" w:lineRule="exact"/>
        <w:ind w:firstLine="640" w:firstLineChars="200"/>
        <w:textAlignment w:val="auto"/>
        <w:rPr>
          <w:rFonts w:ascii="仿宋_GB2312" w:eastAsia="仿宋_GB2312"/>
          <w:sz w:val="32"/>
          <w:szCs w:val="32"/>
          <w:u w:val="none" w:color="auto"/>
        </w:rPr>
      </w:pPr>
      <w:r>
        <w:rPr>
          <w:rFonts w:ascii="仿宋_GB2312" w:eastAsia="仿宋_GB2312"/>
          <w:sz w:val="32"/>
          <w:szCs w:val="32"/>
          <w:u w:val="none" w:color="auto"/>
        </w:rPr>
        <w:t>赔偿人赔偿不低于同等性能指标、可正常工作的资产设备。</w:t>
      </w:r>
    </w:p>
    <w:p>
      <w:pPr>
        <w:keepNext w:val="0"/>
        <w:keepLines w:val="0"/>
        <w:pageBreakBefore w:val="0"/>
        <w:kinsoku/>
        <w:wordWrap/>
        <w:overflowPunct/>
        <w:topLinePunct w:val="0"/>
        <w:bidi w:val="0"/>
        <w:snapToGrid/>
        <w:spacing w:line="580" w:lineRule="exact"/>
        <w:ind w:firstLine="640" w:firstLineChars="200"/>
        <w:textAlignment w:val="auto"/>
        <w:rPr>
          <w:rFonts w:hint="eastAsia" w:ascii="楷体_GB2312" w:hAnsi="楷体_GB2312" w:eastAsia="楷体_GB2312" w:cs="楷体_GB2312"/>
          <w:sz w:val="32"/>
          <w:szCs w:val="32"/>
          <w:u w:val="none" w:color="auto"/>
          <w:lang w:eastAsia="zh-CN"/>
        </w:rPr>
      </w:pPr>
      <w:r>
        <w:rPr>
          <w:rFonts w:hint="eastAsia" w:ascii="楷体_GB2312" w:hAnsi="楷体_GB2312" w:eastAsia="楷体_GB2312" w:cs="楷体_GB2312"/>
          <w:sz w:val="32"/>
          <w:szCs w:val="32"/>
          <w:u w:val="none" w:color="auto"/>
        </w:rPr>
        <w:t>（</w:t>
      </w:r>
      <w:r>
        <w:rPr>
          <w:rFonts w:hint="eastAsia" w:ascii="楷体_GB2312" w:hAnsi="楷体_GB2312" w:eastAsia="楷体_GB2312" w:cs="楷体_GB2312"/>
          <w:sz w:val="32"/>
          <w:szCs w:val="32"/>
          <w:u w:val="none" w:color="auto"/>
          <w:lang w:eastAsia="zh-CN"/>
        </w:rPr>
        <w:t>五</w:t>
      </w:r>
      <w:r>
        <w:rPr>
          <w:rFonts w:hint="eastAsia" w:ascii="楷体_GB2312" w:hAnsi="楷体_GB2312" w:eastAsia="楷体_GB2312" w:cs="楷体_GB2312"/>
          <w:sz w:val="32"/>
          <w:szCs w:val="32"/>
          <w:u w:val="none" w:color="auto"/>
        </w:rPr>
        <w:t>）</w:t>
      </w:r>
      <w:r>
        <w:rPr>
          <w:rFonts w:hint="eastAsia" w:ascii="楷体_GB2312" w:hAnsi="楷体_GB2312" w:eastAsia="楷体_GB2312" w:cs="楷体_GB2312"/>
          <w:sz w:val="32"/>
          <w:szCs w:val="32"/>
          <w:u w:val="none" w:color="auto"/>
          <w:lang w:eastAsia="zh-CN"/>
        </w:rPr>
        <w:t>国有</w:t>
      </w:r>
      <w:r>
        <w:rPr>
          <w:rFonts w:hint="eastAsia" w:ascii="楷体_GB2312" w:hAnsi="楷体_GB2312" w:eastAsia="楷体_GB2312" w:cs="楷体_GB2312"/>
          <w:sz w:val="32"/>
          <w:szCs w:val="32"/>
          <w:u w:val="none" w:color="auto"/>
        </w:rPr>
        <w:t>资产损坏或丢失</w:t>
      </w:r>
      <w:r>
        <w:rPr>
          <w:rFonts w:hint="eastAsia" w:ascii="楷体_GB2312" w:hAnsi="楷体_GB2312" w:eastAsia="楷体_GB2312" w:cs="楷体_GB2312"/>
          <w:sz w:val="32"/>
          <w:szCs w:val="32"/>
          <w:u w:val="none" w:color="auto"/>
          <w:lang w:eastAsia="zh-CN"/>
        </w:rPr>
        <w:t>时，按以下</w:t>
      </w:r>
      <w:r>
        <w:rPr>
          <w:rFonts w:hint="eastAsia" w:ascii="楷体_GB2312" w:hAnsi="楷体_GB2312" w:eastAsia="楷体_GB2312" w:cs="楷体_GB2312"/>
          <w:sz w:val="32"/>
          <w:szCs w:val="32"/>
          <w:u w:val="none" w:color="auto"/>
        </w:rPr>
        <w:t>程序</w:t>
      </w:r>
      <w:r>
        <w:rPr>
          <w:rFonts w:hint="eastAsia" w:ascii="楷体_GB2312" w:hAnsi="楷体_GB2312" w:eastAsia="楷体_GB2312" w:cs="楷体_GB2312"/>
          <w:sz w:val="32"/>
          <w:szCs w:val="32"/>
          <w:u w:val="none" w:color="auto"/>
          <w:lang w:eastAsia="zh-CN"/>
        </w:rPr>
        <w:t>处理：</w:t>
      </w:r>
    </w:p>
    <w:p>
      <w:pPr>
        <w:keepNext w:val="0"/>
        <w:keepLines w:val="0"/>
        <w:pageBreakBefore w:val="0"/>
        <w:kinsoku/>
        <w:wordWrap/>
        <w:overflowPunct/>
        <w:topLinePunct w:val="0"/>
        <w:bidi w:val="0"/>
        <w:snapToGrid/>
        <w:spacing w:line="580" w:lineRule="exact"/>
        <w:ind w:firstLine="640" w:firstLineChars="200"/>
        <w:textAlignment w:val="auto"/>
        <w:rPr>
          <w:rFonts w:ascii="仿宋_GB2312" w:eastAsia="仿宋_GB2312"/>
          <w:sz w:val="32"/>
          <w:szCs w:val="32"/>
          <w:u w:val="none" w:color="auto"/>
        </w:rPr>
      </w:pPr>
      <w:r>
        <w:rPr>
          <w:rFonts w:ascii="仿宋_GB2312" w:eastAsia="仿宋_GB2312"/>
          <w:sz w:val="32"/>
          <w:szCs w:val="32"/>
          <w:u w:val="none" w:color="auto"/>
        </w:rPr>
        <w:t>1.发生</w:t>
      </w:r>
      <w:r>
        <w:rPr>
          <w:rFonts w:hint="eastAsia" w:ascii="仿宋_GB2312" w:eastAsia="仿宋_GB2312"/>
          <w:sz w:val="32"/>
          <w:szCs w:val="32"/>
          <w:u w:val="none" w:color="auto"/>
          <w:lang w:eastAsia="zh-CN"/>
        </w:rPr>
        <w:t>国有</w:t>
      </w:r>
      <w:r>
        <w:rPr>
          <w:rFonts w:ascii="仿宋_GB2312" w:eastAsia="仿宋_GB2312"/>
          <w:sz w:val="32"/>
          <w:szCs w:val="32"/>
          <w:u w:val="none" w:color="auto"/>
        </w:rPr>
        <w:t>资产损坏或丢失后，当事人应立即向</w:t>
      </w:r>
      <w:r>
        <w:rPr>
          <w:rFonts w:hint="eastAsia" w:ascii="仿宋_GB2312" w:eastAsia="仿宋_GB2312"/>
          <w:sz w:val="32"/>
          <w:szCs w:val="32"/>
          <w:u w:val="none" w:color="auto"/>
        </w:rPr>
        <w:t>本部门</w:t>
      </w:r>
      <w:r>
        <w:rPr>
          <w:rFonts w:ascii="仿宋_GB2312" w:eastAsia="仿宋_GB2312"/>
          <w:sz w:val="32"/>
          <w:szCs w:val="32"/>
          <w:u w:val="none" w:color="auto"/>
        </w:rPr>
        <w:t>报告；</w:t>
      </w:r>
    </w:p>
    <w:p>
      <w:pPr>
        <w:keepNext w:val="0"/>
        <w:keepLines w:val="0"/>
        <w:pageBreakBefore w:val="0"/>
        <w:kinsoku/>
        <w:wordWrap/>
        <w:overflowPunct/>
        <w:topLinePunct w:val="0"/>
        <w:bidi w:val="0"/>
        <w:snapToGrid/>
        <w:spacing w:line="580" w:lineRule="exact"/>
        <w:ind w:firstLine="640" w:firstLineChars="200"/>
        <w:textAlignment w:val="auto"/>
        <w:rPr>
          <w:rFonts w:ascii="仿宋_GB2312" w:eastAsia="仿宋_GB2312"/>
          <w:sz w:val="32"/>
          <w:szCs w:val="32"/>
          <w:u w:val="none" w:color="auto"/>
        </w:rPr>
      </w:pPr>
      <w:r>
        <w:rPr>
          <w:rFonts w:ascii="仿宋_GB2312" w:eastAsia="仿宋_GB2312"/>
          <w:sz w:val="32"/>
          <w:szCs w:val="32"/>
          <w:u w:val="none" w:color="auto"/>
        </w:rPr>
        <w:t>2.当事人及时</w:t>
      </w:r>
      <w:r>
        <w:rPr>
          <w:rFonts w:hint="eastAsia" w:ascii="仿宋_GB2312" w:eastAsia="仿宋_GB2312"/>
          <w:sz w:val="32"/>
          <w:szCs w:val="32"/>
          <w:u w:val="none" w:color="auto"/>
          <w:lang w:eastAsia="zh-CN"/>
        </w:rPr>
        <w:t>出具</w:t>
      </w:r>
      <w:r>
        <w:rPr>
          <w:rFonts w:ascii="仿宋_GB2312" w:eastAsia="仿宋_GB2312"/>
          <w:sz w:val="32"/>
          <w:szCs w:val="32"/>
          <w:u w:val="none" w:color="auto"/>
        </w:rPr>
        <w:t>书面的详细说明</w:t>
      </w:r>
      <w:r>
        <w:rPr>
          <w:rFonts w:hint="eastAsia" w:ascii="仿宋_GB2312" w:eastAsia="仿宋_GB2312"/>
          <w:sz w:val="32"/>
          <w:szCs w:val="32"/>
          <w:u w:val="none" w:color="auto"/>
        </w:rPr>
        <w:t>，</w:t>
      </w:r>
      <w:r>
        <w:rPr>
          <w:rFonts w:ascii="仿宋_GB2312" w:eastAsia="仿宋_GB2312"/>
          <w:sz w:val="32"/>
          <w:szCs w:val="32"/>
          <w:u w:val="none" w:color="auto"/>
        </w:rPr>
        <w:t>部门负责人</w:t>
      </w:r>
      <w:r>
        <w:rPr>
          <w:rFonts w:hint="eastAsia" w:ascii="仿宋_GB2312" w:eastAsia="仿宋_GB2312"/>
          <w:sz w:val="32"/>
          <w:szCs w:val="32"/>
          <w:u w:val="none" w:color="auto"/>
        </w:rPr>
        <w:t>及部门分管领导</w:t>
      </w:r>
      <w:r>
        <w:rPr>
          <w:rFonts w:ascii="仿宋_GB2312" w:eastAsia="仿宋_GB2312"/>
          <w:sz w:val="32"/>
          <w:szCs w:val="32"/>
          <w:u w:val="none" w:color="auto"/>
        </w:rPr>
        <w:t>签署意见后</w:t>
      </w:r>
      <w:r>
        <w:rPr>
          <w:rFonts w:hint="eastAsia" w:ascii="仿宋_GB2312" w:eastAsia="仿宋_GB2312"/>
          <w:sz w:val="32"/>
          <w:szCs w:val="32"/>
          <w:u w:val="none" w:color="auto"/>
          <w:lang w:eastAsia="zh-CN"/>
        </w:rPr>
        <w:t>提</w:t>
      </w:r>
      <w:r>
        <w:rPr>
          <w:rFonts w:ascii="仿宋_GB2312" w:eastAsia="仿宋_GB2312"/>
          <w:sz w:val="32"/>
          <w:szCs w:val="32"/>
          <w:u w:val="none" w:color="auto"/>
        </w:rPr>
        <w:t>交资产管理处；</w:t>
      </w:r>
    </w:p>
    <w:p>
      <w:pPr>
        <w:keepNext w:val="0"/>
        <w:keepLines w:val="0"/>
        <w:pageBreakBefore w:val="0"/>
        <w:kinsoku/>
        <w:wordWrap/>
        <w:overflowPunct/>
        <w:topLinePunct w:val="0"/>
        <w:bidi w:val="0"/>
        <w:snapToGrid/>
        <w:spacing w:line="580" w:lineRule="exact"/>
        <w:ind w:firstLine="640" w:firstLineChars="200"/>
        <w:textAlignment w:val="auto"/>
        <w:rPr>
          <w:rFonts w:ascii="仿宋_GB2312" w:eastAsia="仿宋_GB2312"/>
          <w:sz w:val="32"/>
          <w:szCs w:val="32"/>
          <w:u w:val="none" w:color="auto"/>
        </w:rPr>
      </w:pPr>
      <w:r>
        <w:rPr>
          <w:rFonts w:ascii="仿宋_GB2312" w:eastAsia="仿宋_GB2312"/>
          <w:sz w:val="32"/>
          <w:szCs w:val="32"/>
          <w:u w:val="none" w:color="auto"/>
        </w:rPr>
        <w:t>3.资产管理处组织相关人员组成鉴定小组对损坏或丢失</w:t>
      </w:r>
      <w:r>
        <w:rPr>
          <w:rFonts w:hint="eastAsia" w:ascii="仿宋_GB2312" w:eastAsia="仿宋_GB2312"/>
          <w:sz w:val="32"/>
          <w:szCs w:val="32"/>
          <w:u w:val="none" w:color="auto"/>
          <w:lang w:eastAsia="zh-CN"/>
        </w:rPr>
        <w:t>的国有</w:t>
      </w:r>
      <w:r>
        <w:rPr>
          <w:rFonts w:ascii="仿宋_GB2312" w:eastAsia="仿宋_GB2312"/>
          <w:sz w:val="32"/>
          <w:szCs w:val="32"/>
          <w:u w:val="none" w:color="auto"/>
        </w:rPr>
        <w:t>资产进行鉴定，做出事故处理决定并送报</w:t>
      </w:r>
      <w:r>
        <w:rPr>
          <w:rFonts w:hint="eastAsia" w:ascii="仿宋_GB2312" w:eastAsia="仿宋_GB2312"/>
          <w:sz w:val="32"/>
          <w:szCs w:val="32"/>
          <w:u w:val="none" w:color="auto"/>
          <w:lang w:eastAsia="zh-CN"/>
        </w:rPr>
        <w:t>资产管理处</w:t>
      </w:r>
      <w:r>
        <w:rPr>
          <w:rFonts w:hint="eastAsia" w:ascii="仿宋_GB2312" w:eastAsia="仿宋_GB2312"/>
          <w:sz w:val="32"/>
          <w:szCs w:val="32"/>
          <w:u w:val="none" w:color="auto"/>
        </w:rPr>
        <w:t>分管</w:t>
      </w:r>
      <w:r>
        <w:rPr>
          <w:rFonts w:ascii="仿宋_GB2312" w:eastAsia="仿宋_GB2312"/>
          <w:sz w:val="32"/>
          <w:szCs w:val="32"/>
          <w:u w:val="none" w:color="auto"/>
        </w:rPr>
        <w:t>领导审批。</w:t>
      </w:r>
    </w:p>
    <w:p>
      <w:pPr>
        <w:keepNext w:val="0"/>
        <w:keepLines w:val="0"/>
        <w:pageBreakBefore w:val="0"/>
        <w:kinsoku/>
        <w:wordWrap/>
        <w:overflowPunct/>
        <w:topLinePunct w:val="0"/>
        <w:bidi w:val="0"/>
        <w:snapToGrid/>
        <w:spacing w:line="580" w:lineRule="exact"/>
        <w:ind w:firstLine="640" w:firstLineChars="200"/>
        <w:textAlignment w:val="auto"/>
        <w:rPr>
          <w:rFonts w:hint="eastAsia" w:ascii="仿宋_GB2312" w:eastAsia="仿宋_GB2312"/>
          <w:sz w:val="32"/>
          <w:szCs w:val="32"/>
          <w:u w:val="none" w:color="auto"/>
          <w:lang w:val="en-US" w:eastAsia="zh-CN"/>
        </w:rPr>
      </w:pPr>
      <w:r>
        <w:rPr>
          <w:rFonts w:hint="eastAsia" w:ascii="仿宋_GB2312" w:eastAsia="仿宋_GB2312"/>
          <w:sz w:val="32"/>
          <w:szCs w:val="32"/>
          <w:u w:val="none" w:color="auto"/>
          <w:lang w:val="en-US" w:eastAsia="zh-CN"/>
        </w:rPr>
        <w:t>4.根据本办法第五十八条第</w:t>
      </w:r>
      <w:r>
        <w:rPr>
          <w:rFonts w:hint="eastAsia" w:ascii="仿宋_GB2312" w:eastAsia="仿宋_GB2312"/>
          <w:color w:val="auto"/>
          <w:sz w:val="32"/>
          <w:szCs w:val="32"/>
          <w:highlight w:val="none"/>
          <w:u w:val="none" w:color="auto"/>
          <w:lang w:val="en-US" w:eastAsia="zh-CN"/>
        </w:rPr>
        <w:t>（一）（二）（三）点</w:t>
      </w:r>
      <w:r>
        <w:rPr>
          <w:rFonts w:hint="eastAsia" w:ascii="仿宋_GB2312" w:eastAsia="仿宋_GB2312"/>
          <w:sz w:val="32"/>
          <w:szCs w:val="32"/>
          <w:u w:val="none" w:color="auto"/>
          <w:lang w:val="en-US" w:eastAsia="zh-CN"/>
        </w:rPr>
        <w:t>进行国有资产赔偿责任认定。</w:t>
      </w:r>
    </w:p>
    <w:p>
      <w:pPr>
        <w:keepNext w:val="0"/>
        <w:keepLines w:val="0"/>
        <w:pageBreakBefore w:val="0"/>
        <w:kinsoku/>
        <w:wordWrap/>
        <w:overflowPunct/>
        <w:topLinePunct w:val="0"/>
        <w:bidi w:val="0"/>
        <w:snapToGrid/>
        <w:spacing w:line="580" w:lineRule="exact"/>
        <w:ind w:firstLine="640" w:firstLineChars="200"/>
        <w:textAlignment w:val="auto"/>
        <w:rPr>
          <w:rFonts w:ascii="仿宋_GB2312" w:eastAsia="仿宋_GB2312"/>
          <w:sz w:val="32"/>
          <w:szCs w:val="32"/>
          <w:u w:val="none" w:color="auto"/>
        </w:rPr>
      </w:pPr>
      <w:r>
        <w:rPr>
          <w:rFonts w:hint="eastAsia" w:ascii="仿宋_GB2312" w:eastAsia="仿宋_GB2312"/>
          <w:sz w:val="32"/>
          <w:szCs w:val="32"/>
          <w:u w:val="none" w:color="auto"/>
          <w:lang w:val="en-US" w:eastAsia="zh-CN"/>
        </w:rPr>
        <w:t>5.国有资产赔偿责任认定后，依照本办法第五十八条第（四）点进行赔偿。</w:t>
      </w:r>
    </w:p>
    <w:p>
      <w:pPr>
        <w:keepNext w:val="0"/>
        <w:keepLines w:val="0"/>
        <w:pageBreakBefore w:val="0"/>
        <w:numPr>
          <w:ilvl w:val="0"/>
          <w:numId w:val="0"/>
        </w:numPr>
        <w:tabs>
          <w:tab w:val="left" w:pos="0"/>
        </w:tabs>
        <w:kinsoku/>
        <w:wordWrap/>
        <w:overflowPunct/>
        <w:topLinePunct w:val="0"/>
        <w:bidi w:val="0"/>
        <w:snapToGrid/>
        <w:spacing w:line="580" w:lineRule="exact"/>
        <w:ind w:left="-10" w:leftChars="0" w:firstLine="640" w:firstLineChars="0"/>
        <w:textAlignment w:val="auto"/>
        <w:rPr>
          <w:rFonts w:ascii="仿宋_GB2312" w:eastAsia="仿宋_GB2312"/>
          <w:sz w:val="32"/>
          <w:szCs w:val="32"/>
          <w:u w:val="none" w:color="auto"/>
        </w:rPr>
      </w:pPr>
      <w:r>
        <w:rPr>
          <w:rFonts w:hint="eastAsia" w:ascii="仿宋_GB2312" w:eastAsia="仿宋_GB2312"/>
          <w:b/>
          <w:bCs/>
          <w:sz w:val="32"/>
          <w:szCs w:val="32"/>
          <w:u w:val="none" w:color="auto"/>
          <w:lang w:val="en-US" w:eastAsia="zh-CN"/>
        </w:rPr>
        <w:t xml:space="preserve">第五十九条 </w:t>
      </w:r>
      <w:r>
        <w:rPr>
          <w:rFonts w:hint="eastAsia" w:ascii="仿宋_GB2312" w:eastAsia="仿宋_GB2312"/>
          <w:sz w:val="32"/>
          <w:szCs w:val="32"/>
          <w:u w:val="none" w:color="auto"/>
        </w:rPr>
        <w:t>各部门和个人有下列行为之一的，责令改正，有违法所得的没收违法所得，情节较重的，对负有直接责任的部门负责人和其他直接责任人依法给予处分；构成犯罪的，依法追究刑事责任：</w:t>
      </w:r>
    </w:p>
    <w:p>
      <w:pPr>
        <w:keepNext w:val="0"/>
        <w:keepLines w:val="0"/>
        <w:pageBreakBefore w:val="0"/>
        <w:kinsoku/>
        <w:wordWrap/>
        <w:overflowPunct/>
        <w:topLinePunct w:val="0"/>
        <w:bidi w:val="0"/>
        <w:snapToGrid/>
        <w:spacing w:line="580" w:lineRule="exact"/>
        <w:ind w:firstLine="640" w:firstLineChars="200"/>
        <w:textAlignment w:val="auto"/>
        <w:rPr>
          <w:rFonts w:ascii="仿宋_GB2312" w:eastAsia="仿宋_GB2312"/>
          <w:sz w:val="32"/>
          <w:szCs w:val="32"/>
          <w:u w:val="none" w:color="auto"/>
        </w:rPr>
      </w:pPr>
      <w:r>
        <w:rPr>
          <w:rFonts w:hint="eastAsia" w:ascii="仿宋_GB2312" w:eastAsia="仿宋_GB2312"/>
          <w:sz w:val="32"/>
          <w:szCs w:val="32"/>
          <w:u w:val="none" w:color="auto"/>
        </w:rPr>
        <w:t>（一）采用弄虚作假等方式低价处置国有资产的，或以各种名目侵占学院国有资产和利用国有资产谋取私利的。</w:t>
      </w:r>
    </w:p>
    <w:p>
      <w:pPr>
        <w:keepNext w:val="0"/>
        <w:keepLines w:val="0"/>
        <w:pageBreakBefore w:val="0"/>
        <w:kinsoku/>
        <w:wordWrap/>
        <w:overflowPunct/>
        <w:topLinePunct w:val="0"/>
        <w:bidi w:val="0"/>
        <w:snapToGrid/>
        <w:spacing w:line="580" w:lineRule="exact"/>
        <w:ind w:firstLine="640" w:firstLineChars="200"/>
        <w:textAlignment w:val="auto"/>
        <w:rPr>
          <w:rFonts w:ascii="仿宋_GB2312" w:eastAsia="仿宋_GB2312"/>
          <w:sz w:val="32"/>
          <w:szCs w:val="32"/>
          <w:u w:val="none" w:color="auto"/>
        </w:rPr>
      </w:pPr>
      <w:r>
        <w:rPr>
          <w:rFonts w:hint="eastAsia" w:ascii="仿宋_GB2312" w:eastAsia="仿宋_GB2312"/>
          <w:sz w:val="32"/>
          <w:szCs w:val="32"/>
          <w:u w:val="none" w:color="auto"/>
        </w:rPr>
        <w:t>（二）擅自批准产权变动、或者擅自将国有资产出租、出借和对外投资、担保的。</w:t>
      </w:r>
    </w:p>
    <w:p>
      <w:pPr>
        <w:keepNext w:val="0"/>
        <w:keepLines w:val="0"/>
        <w:pageBreakBefore w:val="0"/>
        <w:kinsoku/>
        <w:wordWrap/>
        <w:overflowPunct/>
        <w:topLinePunct w:val="0"/>
        <w:bidi w:val="0"/>
        <w:snapToGrid/>
        <w:spacing w:line="580" w:lineRule="exact"/>
        <w:ind w:firstLine="640" w:firstLineChars="200"/>
        <w:textAlignment w:val="auto"/>
        <w:rPr>
          <w:rFonts w:ascii="仿宋_GB2312" w:eastAsia="仿宋_GB2312"/>
          <w:sz w:val="32"/>
          <w:szCs w:val="32"/>
          <w:u w:val="none" w:color="auto"/>
        </w:rPr>
      </w:pPr>
      <w:r>
        <w:rPr>
          <w:rFonts w:hint="eastAsia" w:ascii="仿宋_GB2312" w:eastAsia="仿宋_GB2312"/>
          <w:sz w:val="32"/>
          <w:szCs w:val="32"/>
          <w:u w:val="none" w:color="auto"/>
        </w:rPr>
        <w:t>（三）擅自占有、转让、使用和处置国有资产以及将资产用于经营性活动的。</w:t>
      </w:r>
    </w:p>
    <w:p>
      <w:pPr>
        <w:keepNext w:val="0"/>
        <w:keepLines w:val="0"/>
        <w:pageBreakBefore w:val="0"/>
        <w:kinsoku/>
        <w:wordWrap/>
        <w:overflowPunct/>
        <w:topLinePunct w:val="0"/>
        <w:bidi w:val="0"/>
        <w:snapToGrid/>
        <w:spacing w:line="580" w:lineRule="exact"/>
        <w:ind w:firstLine="640" w:firstLineChars="200"/>
        <w:textAlignment w:val="auto"/>
        <w:rPr>
          <w:rFonts w:ascii="仿宋_GB2312" w:eastAsia="仿宋_GB2312"/>
          <w:sz w:val="32"/>
          <w:szCs w:val="32"/>
          <w:u w:val="none" w:color="auto"/>
        </w:rPr>
      </w:pPr>
      <w:r>
        <w:rPr>
          <w:rFonts w:hint="eastAsia" w:ascii="仿宋_GB2312" w:eastAsia="仿宋_GB2312"/>
          <w:sz w:val="32"/>
          <w:szCs w:val="32"/>
          <w:u w:val="none" w:color="auto"/>
        </w:rPr>
        <w:t>（四）不按学院规定进行资产登记，或发生转岗不按规定进行资产交接的。</w:t>
      </w:r>
    </w:p>
    <w:p>
      <w:pPr>
        <w:keepNext w:val="0"/>
        <w:keepLines w:val="0"/>
        <w:pageBreakBefore w:val="0"/>
        <w:kinsoku/>
        <w:wordWrap/>
        <w:overflowPunct/>
        <w:topLinePunct w:val="0"/>
        <w:bidi w:val="0"/>
        <w:snapToGrid/>
        <w:spacing w:line="580" w:lineRule="exact"/>
        <w:ind w:firstLine="640" w:firstLineChars="200"/>
        <w:textAlignment w:val="auto"/>
        <w:rPr>
          <w:rFonts w:ascii="仿宋_GB2312" w:eastAsia="仿宋_GB2312"/>
          <w:sz w:val="32"/>
          <w:szCs w:val="32"/>
          <w:u w:val="none" w:color="auto"/>
        </w:rPr>
      </w:pPr>
      <w:bookmarkStart w:id="0" w:name="_GoBack"/>
      <w:r>
        <w:rPr>
          <w:rFonts w:hint="eastAsia" w:ascii="仿宋_GB2312" w:eastAsia="仿宋_GB2312"/>
          <w:sz w:val="32"/>
          <w:szCs w:val="32"/>
          <w:u w:val="none" w:color="auto"/>
        </w:rPr>
        <w:t>（五）未按规定缴纳国有资产收益的。</w:t>
      </w:r>
    </w:p>
    <w:bookmarkEnd w:id="0"/>
    <w:p>
      <w:pPr>
        <w:keepNext w:val="0"/>
        <w:keepLines w:val="0"/>
        <w:pageBreakBefore w:val="0"/>
        <w:kinsoku/>
        <w:wordWrap/>
        <w:overflowPunct/>
        <w:topLinePunct w:val="0"/>
        <w:bidi w:val="0"/>
        <w:snapToGrid/>
        <w:spacing w:line="580" w:lineRule="exact"/>
        <w:ind w:firstLine="640" w:firstLineChars="200"/>
        <w:textAlignment w:val="auto"/>
        <w:rPr>
          <w:rFonts w:hint="eastAsia" w:ascii="仿宋_GB2312" w:eastAsia="仿宋_GB2312"/>
          <w:sz w:val="32"/>
          <w:szCs w:val="32"/>
          <w:u w:val="none" w:color="auto"/>
        </w:rPr>
      </w:pPr>
      <w:r>
        <w:rPr>
          <w:rFonts w:hint="eastAsia" w:ascii="仿宋_GB2312" w:eastAsia="仿宋_GB2312"/>
          <w:sz w:val="32"/>
          <w:szCs w:val="32"/>
          <w:u w:val="none" w:color="auto"/>
        </w:rPr>
        <w:t>（六）故意破坏、损坏、随意丢弃国有资产，或发生资产损失隐瞒不报，失职渎职，造成国有资产损失的。</w:t>
      </w:r>
    </w:p>
    <w:p>
      <w:pPr>
        <w:keepNext w:val="0"/>
        <w:keepLines w:val="0"/>
        <w:pageBreakBefore w:val="0"/>
        <w:numPr>
          <w:ilvl w:val="0"/>
          <w:numId w:val="0"/>
        </w:numPr>
        <w:tabs>
          <w:tab w:val="left" w:pos="0"/>
        </w:tabs>
        <w:kinsoku/>
        <w:wordWrap/>
        <w:overflowPunct/>
        <w:topLinePunct w:val="0"/>
        <w:bidi w:val="0"/>
        <w:snapToGrid/>
        <w:spacing w:line="580" w:lineRule="exact"/>
        <w:ind w:left="-10" w:leftChars="0" w:firstLine="640" w:firstLineChars="0"/>
        <w:textAlignment w:val="auto"/>
        <w:rPr>
          <w:rFonts w:hint="eastAsia" w:ascii="仿宋_GB2312" w:eastAsia="仿宋_GB2312"/>
          <w:sz w:val="32"/>
          <w:szCs w:val="32"/>
          <w:u w:val="none" w:color="auto"/>
        </w:rPr>
      </w:pPr>
      <w:r>
        <w:rPr>
          <w:rFonts w:hint="eastAsia" w:ascii="仿宋_GB2312" w:eastAsia="仿宋_GB2312"/>
          <w:b/>
          <w:bCs/>
          <w:sz w:val="32"/>
          <w:szCs w:val="32"/>
          <w:u w:val="none" w:color="auto"/>
          <w:lang w:val="en-US" w:eastAsia="zh-CN"/>
        </w:rPr>
        <w:t xml:space="preserve">第六十条 </w:t>
      </w:r>
      <w:r>
        <w:rPr>
          <w:rFonts w:hint="eastAsia" w:ascii="仿宋_GB2312" w:eastAsia="仿宋_GB2312"/>
          <w:sz w:val="32"/>
          <w:szCs w:val="32"/>
          <w:u w:val="none" w:color="auto"/>
        </w:rPr>
        <w:t>学院应将国有资产监督管理责任落实到具体部门和个人，加强对国有资产利用效率和效益的考核，依法维护国有资产的安全完整，提高国有资产使用效益。</w:t>
      </w:r>
    </w:p>
    <w:p>
      <w:pPr>
        <w:keepNext w:val="0"/>
        <w:keepLines w:val="0"/>
        <w:pageBreakBefore w:val="0"/>
        <w:widowControl w:val="0"/>
        <w:kinsoku/>
        <w:wordWrap/>
        <w:overflowPunct/>
        <w:topLinePunct w:val="0"/>
        <w:autoSpaceDE/>
        <w:autoSpaceDN/>
        <w:bidi w:val="0"/>
        <w:adjustRightInd/>
        <w:snapToGrid/>
        <w:spacing w:before="0" w:beforeLines="50" w:after="0" w:afterLines="50" w:line="580" w:lineRule="exact"/>
        <w:jc w:val="center"/>
        <w:textAlignment w:val="auto"/>
        <w:outlineLvl w:val="0"/>
        <w:rPr>
          <w:rFonts w:hint="eastAsia" w:ascii="黑体" w:hAnsi="黑体" w:eastAsia="黑体"/>
          <w:sz w:val="32"/>
          <w:szCs w:val="32"/>
          <w:u w:val="none" w:color="auto"/>
        </w:rPr>
      </w:pPr>
      <w:r>
        <w:rPr>
          <w:rFonts w:hint="eastAsia" w:ascii="黑体" w:hAnsi="黑体" w:eastAsia="黑体"/>
          <w:sz w:val="32"/>
          <w:szCs w:val="32"/>
          <w:u w:val="none" w:color="auto"/>
        </w:rPr>
        <w:t>第</w:t>
      </w:r>
      <w:r>
        <w:rPr>
          <w:rFonts w:hint="eastAsia" w:ascii="黑体" w:hAnsi="黑体" w:eastAsia="黑体"/>
          <w:sz w:val="32"/>
          <w:szCs w:val="32"/>
          <w:u w:val="none" w:color="auto"/>
          <w:lang w:eastAsia="zh-CN"/>
        </w:rPr>
        <w:t>十</w:t>
      </w:r>
      <w:r>
        <w:rPr>
          <w:rFonts w:hint="eastAsia" w:ascii="黑体" w:hAnsi="黑体" w:eastAsia="黑体"/>
          <w:sz w:val="32"/>
          <w:szCs w:val="32"/>
          <w:u w:val="none" w:color="auto"/>
        </w:rPr>
        <w:t>章</w:t>
      </w:r>
      <w:r>
        <w:rPr>
          <w:rFonts w:hint="eastAsia" w:ascii="黑体" w:hAnsi="黑体" w:eastAsia="黑体"/>
          <w:sz w:val="32"/>
          <w:szCs w:val="32"/>
          <w:u w:val="none" w:color="auto"/>
          <w:lang w:val="en-US" w:eastAsia="zh-CN"/>
        </w:rPr>
        <w:t xml:space="preserve">  </w:t>
      </w:r>
      <w:r>
        <w:rPr>
          <w:rFonts w:hint="eastAsia" w:ascii="黑体" w:hAnsi="黑体" w:eastAsia="黑体"/>
          <w:sz w:val="32"/>
          <w:szCs w:val="32"/>
          <w:u w:val="none" w:color="auto"/>
        </w:rPr>
        <w:t>附则</w:t>
      </w:r>
    </w:p>
    <w:p>
      <w:pPr>
        <w:keepNext w:val="0"/>
        <w:keepLines w:val="0"/>
        <w:pageBreakBefore w:val="0"/>
        <w:numPr>
          <w:ilvl w:val="0"/>
          <w:numId w:val="0"/>
        </w:numPr>
        <w:tabs>
          <w:tab w:val="left" w:pos="0"/>
        </w:tabs>
        <w:kinsoku/>
        <w:wordWrap/>
        <w:overflowPunct/>
        <w:topLinePunct w:val="0"/>
        <w:bidi w:val="0"/>
        <w:snapToGrid/>
        <w:spacing w:line="580" w:lineRule="exact"/>
        <w:ind w:left="-10" w:leftChars="0" w:firstLine="704" w:firstLineChars="219"/>
        <w:textAlignment w:val="auto"/>
        <w:rPr>
          <w:rFonts w:ascii="仿宋_GB2312" w:eastAsia="仿宋_GB2312"/>
          <w:sz w:val="32"/>
          <w:szCs w:val="32"/>
          <w:u w:val="none" w:color="auto"/>
        </w:rPr>
      </w:pPr>
      <w:r>
        <w:rPr>
          <w:rFonts w:hint="eastAsia" w:ascii="仿宋_GB2312" w:eastAsia="仿宋_GB2312"/>
          <w:b/>
          <w:bCs/>
          <w:sz w:val="32"/>
          <w:szCs w:val="32"/>
          <w:u w:val="none" w:color="auto"/>
          <w:lang w:val="en-US" w:eastAsia="zh-CN"/>
        </w:rPr>
        <w:t xml:space="preserve">第六十一条 </w:t>
      </w:r>
      <w:r>
        <w:rPr>
          <w:rFonts w:hint="eastAsia" w:ascii="仿宋_GB2312" w:eastAsia="仿宋_GB2312"/>
          <w:sz w:val="32"/>
          <w:szCs w:val="32"/>
          <w:u w:val="none" w:color="auto"/>
        </w:rPr>
        <w:t>学</w:t>
      </w:r>
      <w:r>
        <w:rPr>
          <w:rFonts w:hint="eastAsia" w:ascii="仿宋_GB2312" w:eastAsia="仿宋_GB2312"/>
          <w:sz w:val="32"/>
          <w:szCs w:val="32"/>
          <w:u w:val="none" w:color="auto"/>
          <w:lang w:eastAsia="zh-CN"/>
        </w:rPr>
        <w:t>院</w:t>
      </w:r>
      <w:r>
        <w:rPr>
          <w:rFonts w:hint="eastAsia" w:ascii="仿宋_GB2312" w:eastAsia="仿宋_GB2312"/>
          <w:sz w:val="32"/>
          <w:szCs w:val="32"/>
          <w:u w:val="none" w:color="auto"/>
        </w:rPr>
        <w:t>对国有资产管理按照本暂行办法执行。未尽事宜参照《行政事业性国有资产管理条例》（国务院令第738号）《江西省行政事业性国有资产管理办法》（赣财资〔2023〕25号）《江西省省级行政事业单位国有资产处置管理办法》（赣财资〔2023〕27号）《江西省省属高校国有资产出租出借管理暂行办法》（赣财资〔2022〕26号）等国有资产管理有关文件规定执行。</w:t>
      </w:r>
    </w:p>
    <w:p>
      <w:pPr>
        <w:keepNext w:val="0"/>
        <w:keepLines w:val="0"/>
        <w:pageBreakBefore w:val="0"/>
        <w:numPr>
          <w:ilvl w:val="0"/>
          <w:numId w:val="0"/>
        </w:numPr>
        <w:tabs>
          <w:tab w:val="left" w:pos="0"/>
        </w:tabs>
        <w:kinsoku/>
        <w:wordWrap/>
        <w:overflowPunct/>
        <w:topLinePunct w:val="0"/>
        <w:bidi w:val="0"/>
        <w:snapToGrid/>
        <w:spacing w:line="580" w:lineRule="exact"/>
        <w:ind w:left="-10" w:leftChars="0" w:firstLine="640" w:firstLineChars="0"/>
        <w:textAlignment w:val="auto"/>
        <w:rPr>
          <w:rFonts w:ascii="仿宋_GB2312" w:eastAsia="仿宋_GB2312"/>
          <w:sz w:val="32"/>
          <w:szCs w:val="32"/>
          <w:u w:val="none" w:color="auto"/>
        </w:rPr>
      </w:pPr>
      <w:r>
        <w:rPr>
          <w:rFonts w:hint="eastAsia" w:ascii="仿宋_GB2312" w:eastAsia="仿宋_GB2312"/>
          <w:b/>
          <w:bCs/>
          <w:sz w:val="32"/>
          <w:szCs w:val="32"/>
          <w:u w:val="none" w:color="auto"/>
          <w:lang w:val="en-US" w:eastAsia="zh-CN"/>
        </w:rPr>
        <w:t xml:space="preserve">第六十二条 </w:t>
      </w:r>
      <w:r>
        <w:rPr>
          <w:rFonts w:hint="eastAsia" w:ascii="仿宋_GB2312" w:eastAsia="仿宋_GB2312"/>
          <w:sz w:val="32"/>
          <w:szCs w:val="32"/>
          <w:u w:val="none" w:color="auto"/>
        </w:rPr>
        <w:t>货币形式的行政事业性资产管理，按照计划财务处相关规定执行。</w:t>
      </w:r>
    </w:p>
    <w:p>
      <w:pPr>
        <w:keepNext w:val="0"/>
        <w:keepLines w:val="0"/>
        <w:pageBreakBefore w:val="0"/>
        <w:numPr>
          <w:ilvl w:val="0"/>
          <w:numId w:val="0"/>
        </w:numPr>
        <w:tabs>
          <w:tab w:val="left" w:pos="0"/>
        </w:tabs>
        <w:kinsoku/>
        <w:wordWrap/>
        <w:overflowPunct/>
        <w:topLinePunct w:val="0"/>
        <w:bidi w:val="0"/>
        <w:snapToGrid/>
        <w:spacing w:line="580" w:lineRule="exact"/>
        <w:ind w:left="-10" w:leftChars="0" w:firstLine="640" w:firstLineChars="0"/>
        <w:textAlignment w:val="auto"/>
        <w:rPr>
          <w:rFonts w:ascii="仿宋_GB2312" w:eastAsia="仿宋_GB2312"/>
          <w:sz w:val="32"/>
          <w:szCs w:val="32"/>
          <w:u w:val="none" w:color="auto"/>
        </w:rPr>
      </w:pPr>
      <w:r>
        <w:rPr>
          <w:rFonts w:hint="eastAsia" w:ascii="仿宋_GB2312" w:eastAsia="仿宋_GB2312"/>
          <w:b/>
          <w:bCs/>
          <w:sz w:val="32"/>
          <w:szCs w:val="32"/>
          <w:u w:val="none" w:color="auto"/>
          <w:lang w:val="en-US" w:eastAsia="zh-CN"/>
        </w:rPr>
        <w:t xml:space="preserve">第六十三条 </w:t>
      </w:r>
      <w:r>
        <w:rPr>
          <w:rFonts w:hint="eastAsia" w:ascii="仿宋_GB2312" w:eastAsia="仿宋_GB2312"/>
          <w:sz w:val="32"/>
          <w:szCs w:val="32"/>
          <w:u w:val="none" w:color="auto"/>
        </w:rPr>
        <w:t>学院处置涉及国家安全和秘密的资产，应当按照国家有关保密制度的规定，做好保密工作，防止失密和泄密。</w:t>
      </w:r>
    </w:p>
    <w:p>
      <w:pPr>
        <w:keepNext w:val="0"/>
        <w:keepLines w:val="0"/>
        <w:pageBreakBefore w:val="0"/>
        <w:numPr>
          <w:ilvl w:val="0"/>
          <w:numId w:val="0"/>
        </w:numPr>
        <w:tabs>
          <w:tab w:val="left" w:pos="0"/>
        </w:tabs>
        <w:kinsoku/>
        <w:wordWrap/>
        <w:overflowPunct/>
        <w:topLinePunct w:val="0"/>
        <w:bidi w:val="0"/>
        <w:snapToGrid/>
        <w:spacing w:line="580" w:lineRule="exact"/>
        <w:ind w:left="-10" w:leftChars="0" w:firstLine="640" w:firstLineChars="0"/>
        <w:textAlignment w:val="auto"/>
        <w:rPr>
          <w:rFonts w:ascii="仿宋_GB2312" w:eastAsia="仿宋_GB2312"/>
          <w:sz w:val="32"/>
          <w:szCs w:val="32"/>
          <w:u w:val="none" w:color="auto"/>
        </w:rPr>
      </w:pPr>
      <w:r>
        <w:rPr>
          <w:rFonts w:hint="eastAsia" w:ascii="仿宋_GB2312" w:eastAsia="仿宋_GB2312"/>
          <w:b/>
          <w:bCs/>
          <w:sz w:val="32"/>
          <w:szCs w:val="32"/>
          <w:u w:val="none" w:color="auto"/>
          <w:lang w:val="en-US" w:eastAsia="zh-CN"/>
        </w:rPr>
        <w:t xml:space="preserve">第六十四条 </w:t>
      </w:r>
      <w:r>
        <w:rPr>
          <w:rFonts w:hint="eastAsia" w:ascii="仿宋_GB2312" w:eastAsia="仿宋_GB2312"/>
          <w:sz w:val="32"/>
          <w:szCs w:val="32"/>
          <w:u w:val="none" w:color="auto"/>
        </w:rPr>
        <w:t>本办法由学院资产管理处负责解释。未尽事项，按照</w:t>
      </w:r>
      <w:r>
        <w:rPr>
          <w:rFonts w:hint="eastAsia" w:ascii="仿宋_GB2312" w:eastAsia="仿宋_GB2312"/>
          <w:sz w:val="32"/>
          <w:szCs w:val="32"/>
          <w:u w:val="none" w:color="auto"/>
          <w:lang w:eastAsia="zh-CN"/>
        </w:rPr>
        <w:t>江西省</w:t>
      </w:r>
      <w:r>
        <w:rPr>
          <w:rFonts w:hint="eastAsia" w:ascii="仿宋_GB2312" w:eastAsia="仿宋_GB2312"/>
          <w:sz w:val="32"/>
          <w:szCs w:val="32"/>
          <w:u w:val="none" w:color="auto"/>
        </w:rPr>
        <w:t>及上级国有资产管理的有关规定执行。若遇省级资产配置标准和处置规定调整的，按最新的规定执行。</w:t>
      </w:r>
    </w:p>
    <w:p>
      <w:pPr>
        <w:keepNext w:val="0"/>
        <w:keepLines w:val="0"/>
        <w:pageBreakBefore w:val="0"/>
        <w:numPr>
          <w:ilvl w:val="0"/>
          <w:numId w:val="0"/>
        </w:numPr>
        <w:tabs>
          <w:tab w:val="left" w:pos="0"/>
        </w:tabs>
        <w:kinsoku/>
        <w:wordWrap/>
        <w:overflowPunct/>
        <w:topLinePunct w:val="0"/>
        <w:bidi w:val="0"/>
        <w:snapToGrid/>
        <w:spacing w:line="580" w:lineRule="exact"/>
        <w:ind w:left="-10" w:leftChars="0" w:firstLine="640" w:firstLineChars="0"/>
        <w:textAlignment w:val="auto"/>
        <w:rPr>
          <w:rFonts w:ascii="仿宋_GB2312" w:eastAsia="仿宋_GB2312"/>
          <w:sz w:val="32"/>
          <w:szCs w:val="32"/>
          <w:u w:val="none" w:color="auto"/>
        </w:rPr>
      </w:pPr>
      <w:r>
        <w:rPr>
          <w:rFonts w:hint="eastAsia" w:ascii="仿宋_GB2312" w:eastAsia="仿宋_GB2312"/>
          <w:b/>
          <w:bCs/>
          <w:sz w:val="32"/>
          <w:szCs w:val="32"/>
          <w:u w:val="none" w:color="auto"/>
          <w:lang w:val="en-US" w:eastAsia="zh-CN"/>
        </w:rPr>
        <w:t xml:space="preserve">第六十五条 </w:t>
      </w:r>
      <w:r>
        <w:rPr>
          <w:rFonts w:hint="eastAsia" w:ascii="仿宋_GB2312" w:eastAsia="仿宋_GB2312"/>
          <w:sz w:val="32"/>
          <w:szCs w:val="32"/>
          <w:u w:val="none" w:color="auto"/>
        </w:rPr>
        <w:t>本办法自文件下发之日起执行。</w:t>
      </w:r>
    </w:p>
    <w:p>
      <w:pPr>
        <w:keepNext w:val="0"/>
        <w:keepLines w:val="0"/>
        <w:pageBreakBefore w:val="0"/>
        <w:kinsoku/>
        <w:wordWrap/>
        <w:overflowPunct/>
        <w:topLinePunct w:val="0"/>
        <w:bidi w:val="0"/>
        <w:snapToGrid/>
        <w:spacing w:line="580" w:lineRule="exact"/>
        <w:ind w:firstLine="640" w:firstLineChars="200"/>
        <w:textAlignment w:val="auto"/>
        <w:rPr>
          <w:rFonts w:ascii="仿宋_GB2312" w:eastAsia="仿宋_GB2312"/>
          <w:sz w:val="32"/>
          <w:szCs w:val="32"/>
          <w:u w:val="none" w:color="auto"/>
        </w:rPr>
      </w:pPr>
    </w:p>
    <w:p>
      <w:pPr>
        <w:keepNext w:val="0"/>
        <w:keepLines w:val="0"/>
        <w:pageBreakBefore w:val="0"/>
        <w:kinsoku/>
        <w:wordWrap/>
        <w:overflowPunct/>
        <w:topLinePunct w:val="0"/>
        <w:bidi w:val="0"/>
        <w:snapToGrid/>
        <w:spacing w:line="580" w:lineRule="exact"/>
        <w:ind w:left="1895" w:leftChars="304" w:hanging="1257" w:hangingChars="393"/>
        <w:textAlignment w:val="auto"/>
        <w:rPr>
          <w:rFonts w:ascii="仿宋_GB2312" w:hAnsi="仿宋" w:eastAsia="仿宋_GB2312"/>
          <w:color w:val="auto"/>
          <w:sz w:val="32"/>
          <w:szCs w:val="20"/>
          <w:u w:val="none" w:color="auto"/>
        </w:rPr>
      </w:pPr>
      <w:r>
        <w:rPr>
          <w:rFonts w:hint="eastAsia" w:ascii="仿宋_GB2312" w:hAnsi="仿宋" w:eastAsia="仿宋_GB2312"/>
          <w:sz w:val="32"/>
          <w:szCs w:val="20"/>
          <w:u w:val="none" w:color="auto"/>
        </w:rPr>
        <w:t>附</w:t>
      </w:r>
      <w:r>
        <w:rPr>
          <w:rFonts w:hint="eastAsia" w:ascii="仿宋_GB2312" w:hAnsi="仿宋" w:eastAsia="仿宋_GB2312"/>
          <w:color w:val="auto"/>
          <w:sz w:val="32"/>
          <w:szCs w:val="20"/>
          <w:u w:val="none" w:color="auto"/>
        </w:rPr>
        <w:t>件</w:t>
      </w:r>
      <w:r>
        <w:rPr>
          <w:rFonts w:hint="eastAsia" w:ascii="仿宋_GB2312" w:hAnsi="仿宋" w:eastAsia="仿宋_GB2312"/>
          <w:color w:val="auto"/>
          <w:sz w:val="32"/>
          <w:szCs w:val="20"/>
          <w:u w:val="none" w:color="auto"/>
          <w:lang w:val="en-US" w:eastAsia="zh-CN"/>
        </w:rPr>
        <w:t>:1.</w:t>
      </w:r>
      <w:r>
        <w:rPr>
          <w:rFonts w:hint="eastAsia" w:ascii="仿宋_GB2312" w:hAnsi="仿宋" w:eastAsia="仿宋_GB2312"/>
          <w:color w:val="auto"/>
          <w:sz w:val="32"/>
          <w:szCs w:val="20"/>
          <w:u w:val="none" w:color="auto"/>
        </w:rPr>
        <w:t>江西省省级行政事业单位通用办公设备配置标准表</w:t>
      </w:r>
    </w:p>
    <w:p>
      <w:pPr>
        <w:keepNext w:val="0"/>
        <w:keepLines w:val="0"/>
        <w:pageBreakBefore w:val="0"/>
        <w:numPr>
          <w:ilvl w:val="0"/>
          <w:numId w:val="0"/>
        </w:numPr>
        <w:kinsoku/>
        <w:wordWrap/>
        <w:overflowPunct/>
        <w:topLinePunct w:val="0"/>
        <w:bidi w:val="0"/>
        <w:snapToGrid/>
        <w:spacing w:line="580" w:lineRule="exact"/>
        <w:ind w:left="1895" w:leftChars="703" w:hanging="419" w:hangingChars="131"/>
        <w:textAlignment w:val="auto"/>
        <w:rPr>
          <w:rFonts w:hint="eastAsia" w:ascii="仿宋_GB2312" w:hAnsi="仿宋" w:eastAsia="仿宋_GB2312"/>
          <w:color w:val="auto"/>
          <w:sz w:val="32"/>
          <w:szCs w:val="20"/>
          <w:u w:val="none" w:color="auto"/>
        </w:rPr>
      </w:pPr>
      <w:r>
        <w:rPr>
          <w:rFonts w:hint="eastAsia" w:ascii="仿宋_GB2312" w:hAnsi="仿宋" w:eastAsia="仿宋_GB2312"/>
          <w:color w:val="auto"/>
          <w:sz w:val="32"/>
          <w:szCs w:val="20"/>
          <w:u w:val="none" w:color="auto"/>
          <w:lang w:val="en-US" w:eastAsia="zh-CN"/>
        </w:rPr>
        <w:t>2.</w:t>
      </w:r>
      <w:r>
        <w:rPr>
          <w:rFonts w:hint="eastAsia" w:ascii="仿宋_GB2312" w:hAnsi="仿宋" w:eastAsia="仿宋_GB2312"/>
          <w:color w:val="auto"/>
          <w:sz w:val="32"/>
          <w:szCs w:val="20"/>
          <w:u w:val="none" w:color="auto"/>
        </w:rPr>
        <w:t>江西省省级行政事业单位通用办公家具配置标准表</w:t>
      </w:r>
    </w:p>
    <w:p>
      <w:pPr>
        <w:keepNext w:val="0"/>
        <w:keepLines w:val="0"/>
        <w:pageBreakBefore w:val="0"/>
        <w:numPr>
          <w:ilvl w:val="0"/>
          <w:numId w:val="0"/>
        </w:numPr>
        <w:kinsoku/>
        <w:wordWrap/>
        <w:overflowPunct/>
        <w:topLinePunct w:val="0"/>
        <w:bidi w:val="0"/>
        <w:snapToGrid/>
        <w:spacing w:line="580" w:lineRule="exact"/>
        <w:ind w:left="1895" w:leftChars="703" w:hanging="419" w:hangingChars="131"/>
        <w:textAlignment w:val="auto"/>
        <w:rPr>
          <w:rFonts w:ascii="仿宋_GB2312" w:eastAsia="仿宋_GB2312"/>
          <w:color w:val="auto"/>
          <w:sz w:val="32"/>
          <w:szCs w:val="32"/>
          <w:u w:val="none" w:color="auto"/>
        </w:rPr>
      </w:pPr>
      <w:r>
        <w:rPr>
          <w:rFonts w:hint="eastAsia" w:ascii="仿宋_GB2312" w:eastAsia="仿宋_GB2312"/>
          <w:color w:val="auto"/>
          <w:sz w:val="32"/>
          <w:szCs w:val="32"/>
          <w:u w:val="none" w:color="auto"/>
          <w:lang w:val="en-US" w:eastAsia="zh-CN"/>
        </w:rPr>
        <w:t>3.</w:t>
      </w:r>
      <w:r>
        <w:rPr>
          <w:rFonts w:hint="eastAsia" w:ascii="仿宋_GB2312" w:eastAsia="仿宋_GB2312"/>
          <w:color w:val="auto"/>
          <w:sz w:val="32"/>
          <w:szCs w:val="32"/>
          <w:u w:val="none" w:color="auto"/>
        </w:rPr>
        <w:t>江西工业贸易职业技术学院资产管理考核表</w:t>
      </w:r>
    </w:p>
    <w:p>
      <w:pPr>
        <w:keepNext w:val="0"/>
        <w:keepLines w:val="0"/>
        <w:pageBreakBefore w:val="0"/>
        <w:widowControl/>
        <w:kinsoku/>
        <w:wordWrap/>
        <w:overflowPunct/>
        <w:topLinePunct w:val="0"/>
        <w:bidi w:val="0"/>
        <w:snapToGrid/>
        <w:spacing w:line="580" w:lineRule="exact"/>
        <w:jc w:val="left"/>
        <w:textAlignment w:val="auto"/>
        <w:rPr>
          <w:rFonts w:ascii="仿宋_GB2312" w:eastAsia="仿宋_GB2312"/>
          <w:sz w:val="32"/>
          <w:szCs w:val="32"/>
          <w:u w:val="none" w:color="auto"/>
        </w:rPr>
      </w:pPr>
      <w:r>
        <w:rPr>
          <w:rFonts w:ascii="仿宋_GB2312" w:eastAsia="仿宋_GB2312"/>
          <w:sz w:val="32"/>
          <w:szCs w:val="32"/>
          <w:u w:val="none" w:color="auto"/>
        </w:rPr>
        <w:br w:type="page"/>
      </w:r>
    </w:p>
    <w:p>
      <w:pPr>
        <w:widowControl/>
        <w:adjustRightInd w:val="0"/>
        <w:jc w:val="left"/>
        <w:outlineLvl w:val="0"/>
        <w:rPr>
          <w:rFonts w:hint="eastAsia" w:ascii="黑体" w:hAnsi="黑体" w:eastAsia="黑体" w:cs="黑体"/>
          <w:spacing w:val="-8"/>
          <w:sz w:val="32"/>
          <w:szCs w:val="32"/>
          <w:u w:val="none" w:color="auto"/>
        </w:rPr>
      </w:pPr>
      <w:r>
        <w:rPr>
          <w:rFonts w:hint="eastAsia" w:ascii="黑体" w:hAnsi="黑体" w:eastAsia="黑体" w:cs="黑体"/>
          <w:spacing w:val="-9"/>
          <w:sz w:val="32"/>
          <w:szCs w:val="32"/>
          <w:u w:val="none" w:color="auto"/>
        </w:rPr>
        <w:t>附件</w:t>
      </w:r>
      <w:r>
        <w:rPr>
          <w:rFonts w:hint="eastAsia" w:ascii="黑体" w:hAnsi="黑体" w:eastAsia="黑体" w:cs="黑体"/>
          <w:spacing w:val="-8"/>
          <w:sz w:val="32"/>
          <w:szCs w:val="32"/>
          <w:u w:val="none" w:color="auto"/>
        </w:rPr>
        <w:t>1</w:t>
      </w:r>
      <w:r>
        <w:rPr>
          <w:rFonts w:hint="eastAsia" w:ascii="黑体" w:hAnsi="黑体" w:eastAsia="黑体" w:cs="黑体"/>
          <w:spacing w:val="-8"/>
          <w:sz w:val="32"/>
          <w:szCs w:val="32"/>
          <w:u w:val="none" w:color="auto"/>
          <w:lang w:val="en-US" w:eastAsia="zh-CN"/>
        </w:rPr>
        <w:t>:</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0"/>
        <w:rPr>
          <w:rFonts w:ascii="黑体" w:hAnsi="黑体" w:eastAsia="黑体" w:cs="黑体"/>
          <w:sz w:val="31"/>
          <w:szCs w:val="31"/>
          <w:u w:val="none" w:color="auto"/>
        </w:rPr>
      </w:pPr>
      <w:r>
        <w:rPr>
          <w:rFonts w:ascii="黑体" w:hAnsi="黑体" w:eastAsia="黑体" w:cs="黑体"/>
          <w:spacing w:val="10"/>
          <w:sz w:val="31"/>
          <w:szCs w:val="31"/>
          <w:u w:val="none" w:color="auto"/>
        </w:rPr>
        <w:t>江西省省级行政事业单位通用办公设备配置标准表</w:t>
      </w:r>
    </w:p>
    <w:tbl>
      <w:tblPr>
        <w:tblStyle w:val="16"/>
        <w:tblW w:w="1029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80"/>
        <w:gridCol w:w="441"/>
        <w:gridCol w:w="812"/>
        <w:gridCol w:w="5242"/>
        <w:gridCol w:w="1107"/>
        <w:gridCol w:w="990"/>
        <w:gridCol w:w="12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3" w:hRule="atLeast"/>
          <w:jc w:val="center"/>
        </w:trPr>
        <w:tc>
          <w:tcPr>
            <w:tcW w:w="1733" w:type="dxa"/>
            <w:gridSpan w:val="3"/>
            <w:tcBorders>
              <w:top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219" w:lineRule="auto"/>
              <w:jc w:val="center"/>
              <w:textAlignment w:val="auto"/>
              <w:rPr>
                <w:rFonts w:ascii="宋体" w:hAnsi="宋体" w:eastAsia="宋体" w:cs="宋体"/>
                <w:sz w:val="24"/>
                <w:szCs w:val="24"/>
                <w:u w:val="none" w:color="auto"/>
              </w:rPr>
            </w:pPr>
            <w:r>
              <w:rPr>
                <w:rFonts w:ascii="宋体" w:hAnsi="宋体" w:eastAsia="宋体" w:cs="宋体"/>
                <w:spacing w:val="-3"/>
                <w:sz w:val="24"/>
                <w:szCs w:val="24"/>
                <w:u w:val="none" w:color="auto"/>
                <w14:textOutline w14:w="1524" w14:cap="flat" w14:cmpd="sng">
                  <w14:solidFill>
                    <w14:srgbClr w14:val="000000"/>
                  </w14:solidFill>
                  <w14:prstDash w14:val="solid"/>
                  <w14:miter w14:val="0"/>
                </w14:textOutline>
              </w:rPr>
              <w:t>资产品目</w:t>
            </w:r>
          </w:p>
        </w:tc>
        <w:tc>
          <w:tcPr>
            <w:tcW w:w="5242" w:type="dxa"/>
            <w:tcBorders>
              <w:top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219" w:lineRule="auto"/>
              <w:jc w:val="center"/>
              <w:textAlignment w:val="auto"/>
              <w:rPr>
                <w:rFonts w:ascii="宋体" w:hAnsi="宋体" w:eastAsia="宋体" w:cs="宋体"/>
                <w:sz w:val="24"/>
                <w:szCs w:val="24"/>
                <w:u w:val="none" w:color="auto"/>
              </w:rPr>
            </w:pPr>
            <w:r>
              <w:rPr>
                <w:rFonts w:ascii="宋体" w:hAnsi="宋体" w:eastAsia="宋体" w:cs="宋体"/>
                <w:spacing w:val="-2"/>
                <w:sz w:val="24"/>
                <w:szCs w:val="24"/>
                <w:u w:val="none" w:color="auto"/>
                <w14:textOutline w14:w="1524" w14:cap="flat" w14:cmpd="sng">
                  <w14:solidFill>
                    <w14:srgbClr w14:val="000000"/>
                  </w14:solidFill>
                  <w14:prstDash w14:val="solid"/>
                  <w14:miter w14:val="0"/>
                </w14:textOutline>
              </w:rPr>
              <w:t>数量上限（台）</w:t>
            </w:r>
          </w:p>
        </w:tc>
        <w:tc>
          <w:tcPr>
            <w:tcW w:w="1107" w:type="dxa"/>
            <w:tcBorders>
              <w:top w:val="single" w:color="000000" w:sz="8" w:space="0"/>
              <w:lef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225" w:lineRule="auto"/>
              <w:ind w:left="284" w:right="117" w:hanging="125"/>
              <w:jc w:val="center"/>
              <w:textAlignment w:val="auto"/>
              <w:rPr>
                <w:rFonts w:ascii="宋体" w:hAnsi="宋体" w:eastAsia="宋体" w:cs="宋体"/>
                <w:spacing w:val="-1"/>
                <w:sz w:val="24"/>
                <w:szCs w:val="24"/>
                <w:u w:val="none" w:color="auto"/>
                <w14:textOutline w14:w="1524" w14:cap="flat" w14:cmpd="sng">
                  <w14:solidFill>
                    <w14:srgbClr w14:val="000000"/>
                  </w14:solidFill>
                  <w14:prstDash w14:val="solid"/>
                  <w14:miter w14:val="0"/>
                </w14:textOutline>
              </w:rPr>
            </w:pPr>
            <w:r>
              <w:rPr>
                <w:rFonts w:ascii="宋体" w:hAnsi="宋体" w:eastAsia="宋体" w:cs="宋体"/>
                <w:spacing w:val="-1"/>
                <w:sz w:val="24"/>
                <w:szCs w:val="24"/>
                <w:u w:val="none" w:color="auto"/>
                <w14:textOutline w14:w="1524" w14:cap="flat" w14:cmpd="sng">
                  <w14:solidFill>
                    <w14:srgbClr w14:val="000000"/>
                  </w14:solidFill>
                  <w14:prstDash w14:val="solid"/>
                  <w14:miter w14:val="0"/>
                </w14:textOutline>
              </w:rPr>
              <w:t>价格</w:t>
            </w:r>
          </w:p>
          <w:p>
            <w:pPr>
              <w:keepNext w:val="0"/>
              <w:keepLines w:val="0"/>
              <w:pageBreakBefore w:val="0"/>
              <w:widowControl w:val="0"/>
              <w:kinsoku/>
              <w:wordWrap/>
              <w:overflowPunct/>
              <w:topLinePunct w:val="0"/>
              <w:autoSpaceDE/>
              <w:autoSpaceDN/>
              <w:bidi w:val="0"/>
              <w:adjustRightInd/>
              <w:snapToGrid/>
              <w:spacing w:line="225" w:lineRule="auto"/>
              <w:ind w:left="284" w:right="117" w:hanging="125"/>
              <w:jc w:val="center"/>
              <w:textAlignment w:val="auto"/>
              <w:rPr>
                <w:rFonts w:hint="eastAsia" w:ascii="宋体" w:hAnsi="宋体" w:cs="宋体"/>
                <w:spacing w:val="-1"/>
                <w:sz w:val="24"/>
                <w:szCs w:val="24"/>
                <w:u w:val="none" w:color="auto"/>
                <w:lang w:eastAsia="zh-CN"/>
                <w14:textOutline w14:w="1524" w14:cap="flat" w14:cmpd="sng">
                  <w14:solidFill>
                    <w14:srgbClr w14:val="000000"/>
                  </w14:solidFill>
                  <w14:prstDash w14:val="solid"/>
                  <w14:miter w14:val="0"/>
                </w14:textOutline>
              </w:rPr>
            </w:pPr>
            <w:r>
              <w:rPr>
                <w:rFonts w:ascii="宋体" w:hAnsi="宋体" w:eastAsia="宋体" w:cs="宋体"/>
                <w:spacing w:val="-1"/>
                <w:sz w:val="24"/>
                <w:szCs w:val="24"/>
                <w:u w:val="none" w:color="auto"/>
                <w14:textOutline w14:w="1524" w14:cap="flat" w14:cmpd="sng">
                  <w14:solidFill>
                    <w14:srgbClr w14:val="000000"/>
                  </w14:solidFill>
                  <w14:prstDash w14:val="solid"/>
                  <w14:miter w14:val="0"/>
                </w14:textOutline>
              </w:rPr>
              <w:t>上</w:t>
            </w:r>
            <w:r>
              <w:rPr>
                <w:rFonts w:hint="eastAsia" w:ascii="宋体" w:hAnsi="宋体" w:cs="宋体"/>
                <w:spacing w:val="-1"/>
                <w:sz w:val="24"/>
                <w:szCs w:val="24"/>
                <w:u w:val="none" w:color="auto"/>
                <w:lang w:eastAsia="zh-CN"/>
                <w14:textOutline w14:w="1524" w14:cap="flat" w14:cmpd="sng">
                  <w14:solidFill>
                    <w14:srgbClr w14:val="000000"/>
                  </w14:solidFill>
                  <w14:prstDash w14:val="solid"/>
                  <w14:miter w14:val="0"/>
                </w14:textOutline>
              </w:rPr>
              <w:t>限</w:t>
            </w:r>
          </w:p>
          <w:p>
            <w:pPr>
              <w:keepNext w:val="0"/>
              <w:keepLines w:val="0"/>
              <w:pageBreakBefore w:val="0"/>
              <w:widowControl w:val="0"/>
              <w:kinsoku/>
              <w:wordWrap/>
              <w:overflowPunct/>
              <w:topLinePunct w:val="0"/>
              <w:autoSpaceDE/>
              <w:autoSpaceDN/>
              <w:bidi w:val="0"/>
              <w:adjustRightInd/>
              <w:snapToGrid/>
              <w:spacing w:line="225" w:lineRule="auto"/>
              <w:ind w:left="284" w:right="117" w:hanging="125"/>
              <w:jc w:val="center"/>
              <w:textAlignment w:val="auto"/>
              <w:rPr>
                <w:rFonts w:ascii="宋体" w:hAnsi="宋体" w:eastAsia="宋体" w:cs="宋体"/>
                <w:sz w:val="24"/>
                <w:szCs w:val="24"/>
                <w:u w:val="none" w:color="auto"/>
              </w:rPr>
            </w:pPr>
            <w:r>
              <w:rPr>
                <w:rFonts w:ascii="宋体" w:hAnsi="宋体" w:eastAsia="宋体" w:cs="宋体"/>
                <w:spacing w:val="-6"/>
                <w:sz w:val="24"/>
                <w:szCs w:val="24"/>
                <w:u w:val="none" w:color="auto"/>
                <w14:textOutline w14:w="1524" w14:cap="flat" w14:cmpd="sng">
                  <w14:solidFill>
                    <w14:srgbClr w14:val="000000"/>
                  </w14:solidFill>
                  <w14:prstDash w14:val="solid"/>
                  <w14:miter w14:val="0"/>
                </w14:textOutline>
              </w:rPr>
              <w:t>（元）</w:t>
            </w:r>
          </w:p>
        </w:tc>
        <w:tc>
          <w:tcPr>
            <w:tcW w:w="990" w:type="dxa"/>
            <w:tcBorders>
              <w:top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216" w:lineRule="auto"/>
              <w:ind w:left="140" w:right="119"/>
              <w:jc w:val="center"/>
              <w:textAlignment w:val="auto"/>
              <w:rPr>
                <w:rFonts w:ascii="宋体" w:hAnsi="宋体" w:eastAsia="宋体" w:cs="宋体"/>
                <w:sz w:val="24"/>
                <w:szCs w:val="24"/>
                <w:u w:val="none" w:color="auto"/>
              </w:rPr>
            </w:pPr>
            <w:r>
              <w:rPr>
                <w:rFonts w:ascii="宋体" w:hAnsi="宋体" w:eastAsia="宋体" w:cs="宋体"/>
                <w:spacing w:val="-2"/>
                <w:sz w:val="24"/>
                <w:szCs w:val="24"/>
                <w:u w:val="none" w:color="auto"/>
                <w14:textOutline w14:w="1524" w14:cap="flat" w14:cmpd="sng">
                  <w14:solidFill>
                    <w14:srgbClr w14:val="000000"/>
                  </w14:solidFill>
                  <w14:prstDash w14:val="solid"/>
                  <w14:miter w14:val="0"/>
                </w14:textOutline>
              </w:rPr>
              <w:t>最低使</w:t>
            </w:r>
            <w:r>
              <w:rPr>
                <w:rFonts w:ascii="宋体" w:hAnsi="宋体" w:eastAsia="宋体" w:cs="宋体"/>
                <w:sz w:val="24"/>
                <w:szCs w:val="24"/>
                <w:u w:val="none" w:color="auto"/>
              </w:rPr>
              <w:t xml:space="preserve"> </w:t>
            </w:r>
            <w:r>
              <w:rPr>
                <w:rFonts w:ascii="宋体" w:hAnsi="宋体" w:eastAsia="宋体" w:cs="宋体"/>
                <w:spacing w:val="-2"/>
                <w:sz w:val="24"/>
                <w:szCs w:val="24"/>
                <w:u w:val="none" w:color="auto"/>
                <w14:textOutline w14:w="1524" w14:cap="flat" w14:cmpd="sng">
                  <w14:solidFill>
                    <w14:srgbClr w14:val="000000"/>
                  </w14:solidFill>
                  <w14:prstDash w14:val="solid"/>
                  <w14:miter w14:val="0"/>
                </w14:textOutline>
              </w:rPr>
              <w:t>用年限</w:t>
            </w:r>
            <w:r>
              <w:rPr>
                <w:rFonts w:ascii="宋体" w:hAnsi="宋体" w:eastAsia="宋体" w:cs="宋体"/>
                <w:sz w:val="24"/>
                <w:szCs w:val="24"/>
                <w:u w:val="none" w:color="auto"/>
              </w:rPr>
              <w:t xml:space="preserve"> </w:t>
            </w:r>
            <w:r>
              <w:rPr>
                <w:rFonts w:ascii="宋体" w:hAnsi="宋体" w:eastAsia="宋体" w:cs="宋体"/>
                <w:spacing w:val="-4"/>
                <w:sz w:val="24"/>
                <w:szCs w:val="24"/>
                <w:u w:val="none" w:color="auto"/>
                <w14:textOutline w14:w="1524" w14:cap="flat" w14:cmpd="sng">
                  <w14:solidFill>
                    <w14:srgbClr w14:val="000000"/>
                  </w14:solidFill>
                  <w14:prstDash w14:val="solid"/>
                  <w14:miter w14:val="0"/>
                </w14:textOutline>
              </w:rPr>
              <w:t>（年）</w:t>
            </w:r>
          </w:p>
        </w:tc>
        <w:tc>
          <w:tcPr>
            <w:tcW w:w="1227" w:type="dxa"/>
            <w:tcBorders>
              <w:top w:val="single" w:color="000000" w:sz="8" w:space="0"/>
              <w:left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225" w:lineRule="auto"/>
              <w:ind w:left="331" w:right="65" w:hanging="240"/>
              <w:jc w:val="center"/>
              <w:textAlignment w:val="auto"/>
              <w:rPr>
                <w:rFonts w:ascii="宋体" w:hAnsi="宋体" w:eastAsia="宋体" w:cs="宋体"/>
                <w:spacing w:val="-2"/>
                <w:sz w:val="24"/>
                <w:szCs w:val="24"/>
                <w:u w:val="none" w:color="auto"/>
                <w14:textOutline w14:w="1524" w14:cap="flat" w14:cmpd="sng">
                  <w14:solidFill>
                    <w14:srgbClr w14:val="000000"/>
                  </w14:solidFill>
                  <w14:prstDash w14:val="solid"/>
                  <w14:miter w14:val="0"/>
                </w14:textOutline>
              </w:rPr>
            </w:pPr>
            <w:r>
              <w:rPr>
                <w:rFonts w:ascii="宋体" w:hAnsi="宋体" w:eastAsia="宋体" w:cs="宋体"/>
                <w:spacing w:val="-2"/>
                <w:sz w:val="24"/>
                <w:szCs w:val="24"/>
                <w:u w:val="none" w:color="auto"/>
                <w14:textOutline w14:w="1524" w14:cap="flat" w14:cmpd="sng">
                  <w14:solidFill>
                    <w14:srgbClr w14:val="000000"/>
                  </w14:solidFill>
                  <w14:prstDash w14:val="solid"/>
                  <w14:miter w14:val="0"/>
                </w14:textOutline>
              </w:rPr>
              <w:t>性能</w:t>
            </w:r>
          </w:p>
          <w:p>
            <w:pPr>
              <w:keepNext w:val="0"/>
              <w:keepLines w:val="0"/>
              <w:pageBreakBefore w:val="0"/>
              <w:widowControl w:val="0"/>
              <w:kinsoku/>
              <w:wordWrap/>
              <w:overflowPunct/>
              <w:topLinePunct w:val="0"/>
              <w:autoSpaceDE/>
              <w:autoSpaceDN/>
              <w:bidi w:val="0"/>
              <w:adjustRightInd/>
              <w:snapToGrid/>
              <w:spacing w:line="225" w:lineRule="auto"/>
              <w:ind w:left="331" w:right="65" w:hanging="240"/>
              <w:jc w:val="center"/>
              <w:textAlignment w:val="auto"/>
              <w:rPr>
                <w:rFonts w:ascii="宋体" w:hAnsi="宋体" w:eastAsia="宋体" w:cs="宋体"/>
                <w:sz w:val="24"/>
                <w:szCs w:val="24"/>
                <w:u w:val="none" w:color="auto"/>
              </w:rPr>
            </w:pPr>
            <w:r>
              <w:rPr>
                <w:rFonts w:ascii="宋体" w:hAnsi="宋体" w:eastAsia="宋体" w:cs="宋体"/>
                <w:spacing w:val="-2"/>
                <w:sz w:val="24"/>
                <w:szCs w:val="24"/>
                <w:u w:val="none" w:color="auto"/>
                <w14:textOutline w14:w="1524" w14:cap="flat" w14:cmpd="sng">
                  <w14:solidFill>
                    <w14:srgbClr w14:val="000000"/>
                  </w14:solidFill>
                  <w14:prstDash w14:val="solid"/>
                  <w14:miter w14:val="0"/>
                </w14:textOutline>
              </w:rPr>
              <w:t>要</w:t>
            </w:r>
            <w:r>
              <w:rPr>
                <w:rFonts w:ascii="宋体" w:hAnsi="宋体" w:eastAsia="宋体" w:cs="宋体"/>
                <w:sz w:val="24"/>
                <w:szCs w:val="24"/>
                <w:u w:val="none" w:color="auto"/>
                <w14:textOutline w14:w="1524" w14:cap="flat" w14:cmpd="sng">
                  <w14:solidFill>
                    <w14:srgbClr w14:val="000000"/>
                  </w14:solidFill>
                  <w14:prstDash w14:val="solid"/>
                  <w14:miter w14:val="0"/>
                </w14:textOutline>
              </w:rPr>
              <w:t>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60" w:hRule="atLeast"/>
          <w:jc w:val="center"/>
        </w:trPr>
        <w:tc>
          <w:tcPr>
            <w:tcW w:w="1733" w:type="dxa"/>
            <w:gridSpan w:val="3"/>
            <w:vAlign w:val="center"/>
          </w:tcPr>
          <w:p>
            <w:pPr>
              <w:pStyle w:val="20"/>
              <w:spacing w:before="68" w:line="223" w:lineRule="auto"/>
              <w:ind w:right="80"/>
              <w:jc w:val="center"/>
              <w:rPr>
                <w:u w:val="none" w:color="auto"/>
              </w:rPr>
            </w:pPr>
            <w:r>
              <w:rPr>
                <w:spacing w:val="-4"/>
                <w:u w:val="none" w:color="auto"/>
              </w:rPr>
              <w:t>台式计算机含预</w:t>
            </w:r>
            <w:r>
              <w:rPr>
                <w:spacing w:val="2"/>
                <w:u w:val="none" w:color="auto"/>
              </w:rPr>
              <w:t xml:space="preserve"> </w:t>
            </w:r>
            <w:r>
              <w:rPr>
                <w:u w:val="none" w:color="auto"/>
              </w:rPr>
              <w:t xml:space="preserve">装正版操作系统 </w:t>
            </w:r>
            <w:r>
              <w:rPr>
                <w:spacing w:val="-2"/>
                <w:u w:val="none" w:color="auto"/>
              </w:rPr>
              <w:t>软件）</w:t>
            </w:r>
          </w:p>
        </w:tc>
        <w:tc>
          <w:tcPr>
            <w:tcW w:w="5242" w:type="dxa"/>
            <w:tcBorders>
              <w:right w:val="single" w:color="000000" w:sz="8" w:space="0"/>
            </w:tcBorders>
            <w:vAlign w:val="top"/>
          </w:tcPr>
          <w:p>
            <w:pPr>
              <w:pStyle w:val="20"/>
              <w:spacing w:before="183" w:line="226" w:lineRule="auto"/>
              <w:ind w:right="70"/>
              <w:jc w:val="both"/>
              <w:rPr>
                <w:u w:val="none" w:color="auto"/>
              </w:rPr>
            </w:pPr>
            <w:r>
              <w:rPr>
                <w:u w:val="none" w:color="auto"/>
              </w:rPr>
              <w:t>结合单位办公网络布置以及保密管理的规定合理配置。涉密单位台式计算机配置数量上限按单位编制内实有人数的150%控制；非涉密单位台式计算机配置数量上限按单位编制内实有人数的100%控制。</w:t>
            </w:r>
          </w:p>
        </w:tc>
        <w:tc>
          <w:tcPr>
            <w:tcW w:w="1107" w:type="dxa"/>
            <w:tcBorders>
              <w:left w:val="single" w:color="000000" w:sz="8" w:space="0"/>
            </w:tcBorders>
            <w:vAlign w:val="center"/>
          </w:tcPr>
          <w:p>
            <w:pPr>
              <w:spacing w:line="264" w:lineRule="auto"/>
              <w:jc w:val="center"/>
              <w:rPr>
                <w:rFonts w:ascii="Arial"/>
                <w:sz w:val="21"/>
                <w:u w:val="none" w:color="auto"/>
              </w:rPr>
            </w:pPr>
          </w:p>
          <w:p>
            <w:pPr>
              <w:spacing w:line="265" w:lineRule="auto"/>
              <w:jc w:val="center"/>
              <w:rPr>
                <w:rFonts w:ascii="Arial"/>
                <w:sz w:val="21"/>
                <w:u w:val="none" w:color="auto"/>
              </w:rPr>
            </w:pPr>
          </w:p>
          <w:p>
            <w:pPr>
              <w:pStyle w:val="20"/>
              <w:spacing w:before="68" w:line="182" w:lineRule="auto"/>
              <w:ind w:left="65"/>
              <w:jc w:val="center"/>
              <w:rPr>
                <w:u w:val="none" w:color="auto"/>
              </w:rPr>
            </w:pPr>
            <w:r>
              <w:rPr>
                <w:spacing w:val="-4"/>
                <w:u w:val="none" w:color="auto"/>
              </w:rPr>
              <w:t>5000</w:t>
            </w:r>
          </w:p>
        </w:tc>
        <w:tc>
          <w:tcPr>
            <w:tcW w:w="990" w:type="dxa"/>
            <w:tcBorders>
              <w:right w:val="single" w:color="000000" w:sz="8" w:space="0"/>
            </w:tcBorders>
            <w:vAlign w:val="center"/>
          </w:tcPr>
          <w:p>
            <w:pPr>
              <w:spacing w:line="264" w:lineRule="auto"/>
              <w:jc w:val="center"/>
              <w:rPr>
                <w:rFonts w:ascii="Arial"/>
                <w:sz w:val="21"/>
                <w:u w:val="none" w:color="auto"/>
              </w:rPr>
            </w:pPr>
          </w:p>
          <w:p>
            <w:pPr>
              <w:spacing w:line="265" w:lineRule="auto"/>
              <w:jc w:val="center"/>
              <w:rPr>
                <w:rFonts w:ascii="Arial"/>
                <w:sz w:val="21"/>
                <w:u w:val="none" w:color="auto"/>
              </w:rPr>
            </w:pPr>
          </w:p>
          <w:p>
            <w:pPr>
              <w:pStyle w:val="20"/>
              <w:spacing w:before="68" w:line="182" w:lineRule="auto"/>
              <w:ind w:left="58"/>
              <w:jc w:val="center"/>
              <w:rPr>
                <w:u w:val="none" w:color="auto"/>
              </w:rPr>
            </w:pPr>
            <w:r>
              <w:rPr>
                <w:u w:val="none" w:color="auto"/>
              </w:rPr>
              <w:t>6</w:t>
            </w:r>
          </w:p>
        </w:tc>
        <w:tc>
          <w:tcPr>
            <w:tcW w:w="1227" w:type="dxa"/>
            <w:vMerge w:val="restart"/>
            <w:tcBorders>
              <w:left w:val="single" w:color="000000" w:sz="8" w:space="0"/>
              <w:bottom w:val="nil"/>
              <w:right w:val="single" w:color="000000" w:sz="8" w:space="0"/>
            </w:tcBorders>
            <w:vAlign w:val="top"/>
          </w:tcPr>
          <w:p>
            <w:pPr>
              <w:spacing w:line="246" w:lineRule="auto"/>
              <w:rPr>
                <w:rFonts w:ascii="Arial"/>
                <w:sz w:val="21"/>
                <w:u w:val="none" w:color="auto"/>
              </w:rPr>
            </w:pPr>
          </w:p>
          <w:p>
            <w:pPr>
              <w:spacing w:line="246" w:lineRule="auto"/>
              <w:rPr>
                <w:rFonts w:ascii="Arial"/>
                <w:sz w:val="21"/>
                <w:u w:val="none" w:color="auto"/>
              </w:rPr>
            </w:pPr>
          </w:p>
          <w:p>
            <w:pPr>
              <w:spacing w:line="246" w:lineRule="auto"/>
              <w:rPr>
                <w:rFonts w:ascii="Arial"/>
                <w:sz w:val="21"/>
                <w:u w:val="none" w:color="auto"/>
              </w:rPr>
            </w:pPr>
          </w:p>
          <w:p>
            <w:pPr>
              <w:spacing w:line="247" w:lineRule="auto"/>
              <w:rPr>
                <w:rFonts w:ascii="Arial"/>
                <w:sz w:val="21"/>
                <w:u w:val="none" w:color="auto"/>
              </w:rPr>
            </w:pPr>
          </w:p>
          <w:p>
            <w:pPr>
              <w:spacing w:line="247" w:lineRule="auto"/>
              <w:rPr>
                <w:rFonts w:ascii="Arial"/>
                <w:sz w:val="21"/>
                <w:u w:val="none" w:color="auto"/>
              </w:rPr>
            </w:pPr>
          </w:p>
          <w:p>
            <w:pPr>
              <w:spacing w:line="247" w:lineRule="auto"/>
              <w:rPr>
                <w:rFonts w:ascii="Arial"/>
                <w:sz w:val="21"/>
                <w:u w:val="none" w:color="auto"/>
              </w:rPr>
            </w:pPr>
          </w:p>
          <w:p>
            <w:pPr>
              <w:spacing w:line="247" w:lineRule="auto"/>
              <w:rPr>
                <w:rFonts w:ascii="Arial"/>
                <w:sz w:val="21"/>
                <w:u w:val="none" w:color="auto"/>
              </w:rPr>
            </w:pPr>
          </w:p>
          <w:p>
            <w:pPr>
              <w:spacing w:line="247" w:lineRule="auto"/>
              <w:rPr>
                <w:rFonts w:ascii="Arial"/>
                <w:sz w:val="21"/>
                <w:u w:val="none" w:color="auto"/>
              </w:rPr>
            </w:pPr>
          </w:p>
          <w:p>
            <w:pPr>
              <w:spacing w:line="247" w:lineRule="auto"/>
              <w:rPr>
                <w:rFonts w:ascii="Arial"/>
                <w:sz w:val="21"/>
                <w:u w:val="none" w:color="auto"/>
              </w:rPr>
            </w:pPr>
          </w:p>
          <w:p>
            <w:pPr>
              <w:spacing w:line="247" w:lineRule="auto"/>
              <w:rPr>
                <w:rFonts w:ascii="Arial"/>
                <w:sz w:val="21"/>
                <w:u w:val="none" w:color="auto"/>
              </w:rPr>
            </w:pPr>
          </w:p>
          <w:p>
            <w:pPr>
              <w:spacing w:line="247" w:lineRule="auto"/>
              <w:rPr>
                <w:rFonts w:ascii="Arial"/>
                <w:sz w:val="21"/>
                <w:u w:val="none" w:color="auto"/>
              </w:rPr>
            </w:pPr>
          </w:p>
          <w:p>
            <w:pPr>
              <w:spacing w:line="247" w:lineRule="auto"/>
              <w:rPr>
                <w:rFonts w:ascii="Arial"/>
                <w:sz w:val="21"/>
                <w:u w:val="none" w:color="auto"/>
              </w:rPr>
            </w:pPr>
          </w:p>
          <w:p>
            <w:pPr>
              <w:spacing w:line="247" w:lineRule="auto"/>
              <w:rPr>
                <w:rFonts w:ascii="Arial"/>
                <w:sz w:val="21"/>
                <w:u w:val="none" w:color="auto"/>
              </w:rPr>
            </w:pPr>
          </w:p>
          <w:p>
            <w:pPr>
              <w:pStyle w:val="20"/>
              <w:spacing w:before="68" w:line="225" w:lineRule="auto"/>
              <w:ind w:left="131" w:right="113" w:firstLine="1"/>
              <w:rPr>
                <w:u w:val="none" w:color="auto"/>
              </w:rPr>
            </w:pPr>
            <w:r>
              <w:rPr>
                <w:spacing w:val="-9"/>
                <w:u w:val="none" w:color="auto"/>
              </w:rPr>
              <w:t>按照《</w:t>
            </w:r>
            <w:r>
              <w:rPr>
                <w:spacing w:val="1"/>
                <w:u w:val="none" w:color="auto"/>
              </w:rPr>
              <w:t xml:space="preserve"> </w:t>
            </w:r>
            <w:r>
              <w:rPr>
                <w:spacing w:val="-2"/>
                <w:u w:val="none" w:color="auto"/>
              </w:rPr>
              <w:t>中华人民共和国政府采购法</w:t>
            </w:r>
            <w:r>
              <w:rPr>
                <w:spacing w:val="1"/>
                <w:u w:val="none" w:color="auto"/>
              </w:rPr>
              <w:t xml:space="preserve"> </w:t>
            </w:r>
            <w:r>
              <w:rPr>
                <w:spacing w:val="-2"/>
                <w:u w:val="none" w:color="auto"/>
              </w:rPr>
              <w:t>》规</w:t>
            </w:r>
            <w:r>
              <w:rPr>
                <w:spacing w:val="-3"/>
                <w:u w:val="none" w:color="auto"/>
              </w:rPr>
              <w:t>定，配</w:t>
            </w:r>
            <w:r>
              <w:rPr>
                <w:spacing w:val="-2"/>
                <w:u w:val="none" w:color="auto"/>
              </w:rPr>
              <w:t>置具有</w:t>
            </w:r>
            <w:r>
              <w:rPr>
                <w:spacing w:val="1"/>
                <w:u w:val="none" w:color="auto"/>
              </w:rPr>
              <w:t xml:space="preserve"> </w:t>
            </w:r>
            <w:r>
              <w:rPr>
                <w:spacing w:val="-2"/>
                <w:u w:val="none" w:color="auto"/>
              </w:rPr>
              <w:t>较强安</w:t>
            </w:r>
            <w:r>
              <w:rPr>
                <w:spacing w:val="1"/>
                <w:u w:val="none" w:color="auto"/>
              </w:rPr>
              <w:t xml:space="preserve"> </w:t>
            </w:r>
            <w:r>
              <w:rPr>
                <w:spacing w:val="-2"/>
                <w:u w:val="none" w:color="auto"/>
              </w:rPr>
              <w:t>全性、</w:t>
            </w:r>
            <w:r>
              <w:rPr>
                <w:spacing w:val="1"/>
                <w:u w:val="none" w:color="auto"/>
              </w:rPr>
              <w:t xml:space="preserve"> </w:t>
            </w:r>
            <w:r>
              <w:rPr>
                <w:spacing w:val="-2"/>
                <w:u w:val="none" w:color="auto"/>
              </w:rPr>
              <w:t>稳定性</w:t>
            </w:r>
            <w:r>
              <w:rPr>
                <w:spacing w:val="1"/>
                <w:u w:val="none" w:color="auto"/>
              </w:rPr>
              <w:t xml:space="preserve"> </w:t>
            </w:r>
            <w:r>
              <w:rPr>
                <w:spacing w:val="-2"/>
                <w:u w:val="none" w:color="auto"/>
              </w:rPr>
              <w:t>、兼容</w:t>
            </w:r>
            <w:r>
              <w:rPr>
                <w:spacing w:val="1"/>
                <w:u w:val="none" w:color="auto"/>
              </w:rPr>
              <w:t xml:space="preserve"> </w:t>
            </w:r>
            <w:r>
              <w:rPr>
                <w:spacing w:val="-3"/>
                <w:u w:val="none" w:color="auto"/>
              </w:rPr>
              <w:t>性，且</w:t>
            </w:r>
            <w:r>
              <w:rPr>
                <w:spacing w:val="1"/>
                <w:u w:val="none" w:color="auto"/>
              </w:rPr>
              <w:t xml:space="preserve"> </w:t>
            </w:r>
            <w:r>
              <w:rPr>
                <w:spacing w:val="-2"/>
                <w:u w:val="none" w:color="auto"/>
              </w:rPr>
              <w:t>能耗低</w:t>
            </w:r>
            <w:r>
              <w:rPr>
                <w:spacing w:val="1"/>
                <w:u w:val="none" w:color="auto"/>
              </w:rPr>
              <w:t xml:space="preserve"> </w:t>
            </w:r>
            <w:r>
              <w:rPr>
                <w:spacing w:val="-2"/>
                <w:u w:val="none" w:color="auto"/>
              </w:rPr>
              <w:t>、维修</w:t>
            </w:r>
            <w:r>
              <w:rPr>
                <w:spacing w:val="1"/>
                <w:u w:val="none" w:color="auto"/>
              </w:rPr>
              <w:t xml:space="preserve"> </w:t>
            </w:r>
            <w:r>
              <w:rPr>
                <w:spacing w:val="-2"/>
                <w:u w:val="none" w:color="auto"/>
              </w:rPr>
              <w:t>便利的</w:t>
            </w:r>
            <w:r>
              <w:rPr>
                <w:spacing w:val="1"/>
                <w:u w:val="none" w:color="auto"/>
              </w:rPr>
              <w:t xml:space="preserve"> </w:t>
            </w:r>
            <w:r>
              <w:rPr>
                <w:spacing w:val="-2"/>
                <w:u w:val="none" w:color="auto"/>
              </w:rPr>
              <w:t>设备，</w:t>
            </w:r>
            <w:r>
              <w:rPr>
                <w:spacing w:val="1"/>
                <w:u w:val="none" w:color="auto"/>
              </w:rPr>
              <w:t xml:space="preserve"> </w:t>
            </w:r>
            <w:r>
              <w:rPr>
                <w:spacing w:val="-2"/>
                <w:u w:val="none" w:color="auto"/>
              </w:rPr>
              <w:t>不得配</w:t>
            </w:r>
            <w:r>
              <w:rPr>
                <w:spacing w:val="1"/>
                <w:u w:val="none" w:color="auto"/>
              </w:rPr>
              <w:t xml:space="preserve"> </w:t>
            </w:r>
            <w:r>
              <w:rPr>
                <w:spacing w:val="-2"/>
                <w:u w:val="none" w:color="auto"/>
              </w:rPr>
              <w:t>置高端</w:t>
            </w:r>
          </w:p>
          <w:p>
            <w:pPr>
              <w:pStyle w:val="20"/>
              <w:spacing w:before="5" w:line="220" w:lineRule="auto"/>
              <w:ind w:left="238"/>
              <w:rPr>
                <w:u w:val="none" w:color="auto"/>
              </w:rPr>
            </w:pPr>
            <w:r>
              <w:rPr>
                <w:spacing w:val="-2"/>
                <w:u w:val="none" w:color="auto"/>
              </w:rPr>
              <w:t>设备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77" w:hRule="atLeast"/>
          <w:jc w:val="center"/>
        </w:trPr>
        <w:tc>
          <w:tcPr>
            <w:tcW w:w="1733" w:type="dxa"/>
            <w:gridSpan w:val="3"/>
            <w:tcBorders>
              <w:bottom w:val="single" w:color="000000" w:sz="8" w:space="0"/>
            </w:tcBorders>
            <w:vAlign w:val="center"/>
          </w:tcPr>
          <w:p>
            <w:pPr>
              <w:pStyle w:val="20"/>
              <w:spacing w:before="179" w:line="218" w:lineRule="auto"/>
              <w:ind w:left="41"/>
              <w:jc w:val="center"/>
              <w:rPr>
                <w:u w:val="none" w:color="auto"/>
              </w:rPr>
            </w:pPr>
            <w:r>
              <w:rPr>
                <w:spacing w:val="-1"/>
                <w:u w:val="none" w:color="auto"/>
              </w:rPr>
              <w:t>便携式计算机</w:t>
            </w:r>
          </w:p>
          <w:p>
            <w:pPr>
              <w:pStyle w:val="20"/>
              <w:spacing w:before="6" w:line="220" w:lineRule="auto"/>
              <w:ind w:left="43" w:right="80" w:hanging="10"/>
              <w:jc w:val="center"/>
              <w:rPr>
                <w:u w:val="none" w:color="auto"/>
              </w:rPr>
            </w:pPr>
            <w:r>
              <w:rPr>
                <w:spacing w:val="1"/>
                <w:u w:val="none" w:color="auto"/>
              </w:rPr>
              <w:t>（含预装正版操</w:t>
            </w:r>
            <w:r>
              <w:rPr>
                <w:u w:val="none" w:color="auto"/>
              </w:rPr>
              <w:t xml:space="preserve"> </w:t>
            </w:r>
            <w:r>
              <w:rPr>
                <w:spacing w:val="-1"/>
                <w:u w:val="none" w:color="auto"/>
              </w:rPr>
              <w:t>作系统软件）</w:t>
            </w:r>
          </w:p>
        </w:tc>
        <w:tc>
          <w:tcPr>
            <w:tcW w:w="5242" w:type="dxa"/>
            <w:tcBorders>
              <w:bottom w:val="single" w:color="000000" w:sz="8" w:space="0"/>
              <w:right w:val="single" w:color="000000" w:sz="8" w:space="0"/>
            </w:tcBorders>
            <w:vAlign w:val="top"/>
          </w:tcPr>
          <w:p>
            <w:pPr>
              <w:pStyle w:val="20"/>
              <w:spacing w:before="180" w:line="220" w:lineRule="auto"/>
              <w:ind w:left="43" w:right="72" w:hanging="18"/>
              <w:rPr>
                <w:u w:val="none" w:color="auto"/>
              </w:rPr>
            </w:pPr>
            <w:r>
              <w:rPr>
                <w:u w:val="none" w:color="auto"/>
              </w:rPr>
              <w:t>便携式计算机配置数量上限按单位编制内实有人数的50%控制。外勤单位可增加便携式计算机数量，</w:t>
            </w:r>
            <w:r>
              <w:rPr>
                <w:spacing w:val="-1"/>
                <w:u w:val="none" w:color="auto"/>
              </w:rPr>
              <w:t>同时酌情减少相应数量的台式计算机。</w:t>
            </w:r>
          </w:p>
        </w:tc>
        <w:tc>
          <w:tcPr>
            <w:tcW w:w="1107" w:type="dxa"/>
            <w:tcBorders>
              <w:left w:val="single" w:color="000000" w:sz="8" w:space="0"/>
              <w:bottom w:val="single" w:color="000000" w:sz="8" w:space="0"/>
            </w:tcBorders>
            <w:vAlign w:val="center"/>
          </w:tcPr>
          <w:p>
            <w:pPr>
              <w:spacing w:line="391" w:lineRule="auto"/>
              <w:jc w:val="center"/>
              <w:rPr>
                <w:rFonts w:ascii="Arial"/>
                <w:sz w:val="21"/>
                <w:u w:val="none" w:color="auto"/>
              </w:rPr>
            </w:pPr>
          </w:p>
          <w:p>
            <w:pPr>
              <w:pStyle w:val="20"/>
              <w:spacing w:before="68" w:line="182" w:lineRule="auto"/>
              <w:ind w:left="64"/>
              <w:jc w:val="center"/>
              <w:rPr>
                <w:u w:val="none" w:color="auto"/>
              </w:rPr>
            </w:pPr>
            <w:r>
              <w:rPr>
                <w:spacing w:val="-3"/>
                <w:u w:val="none" w:color="auto"/>
              </w:rPr>
              <w:t>7000</w:t>
            </w:r>
          </w:p>
        </w:tc>
        <w:tc>
          <w:tcPr>
            <w:tcW w:w="990" w:type="dxa"/>
            <w:tcBorders>
              <w:bottom w:val="single" w:color="000000" w:sz="8" w:space="0"/>
              <w:right w:val="single" w:color="000000" w:sz="8" w:space="0"/>
            </w:tcBorders>
            <w:vAlign w:val="center"/>
          </w:tcPr>
          <w:p>
            <w:pPr>
              <w:spacing w:line="391" w:lineRule="auto"/>
              <w:jc w:val="center"/>
              <w:rPr>
                <w:rFonts w:ascii="Arial"/>
                <w:sz w:val="21"/>
                <w:u w:val="none" w:color="auto"/>
              </w:rPr>
            </w:pPr>
          </w:p>
          <w:p>
            <w:pPr>
              <w:pStyle w:val="20"/>
              <w:spacing w:before="68" w:line="182" w:lineRule="auto"/>
              <w:ind w:left="58"/>
              <w:jc w:val="center"/>
              <w:rPr>
                <w:u w:val="none" w:color="auto"/>
              </w:rPr>
            </w:pPr>
            <w:r>
              <w:rPr>
                <w:u w:val="none" w:color="auto"/>
              </w:rPr>
              <w:t>6</w:t>
            </w:r>
          </w:p>
        </w:tc>
        <w:tc>
          <w:tcPr>
            <w:tcW w:w="1227" w:type="dxa"/>
            <w:vMerge w:val="continue"/>
            <w:tcBorders>
              <w:top w:val="nil"/>
              <w:left w:val="single" w:color="000000" w:sz="8" w:space="0"/>
              <w:bottom w:val="nil"/>
              <w:right w:val="single" w:color="000000" w:sz="8" w:space="0"/>
            </w:tcBorders>
            <w:vAlign w:val="top"/>
          </w:tcPr>
          <w:p>
            <w:pPr>
              <w:rPr>
                <w:rFonts w:ascii="Arial"/>
                <w:sz w:val="21"/>
                <w:u w:val="none" w:color="auto"/>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0" w:hRule="atLeast"/>
          <w:jc w:val="center"/>
        </w:trPr>
        <w:tc>
          <w:tcPr>
            <w:tcW w:w="480" w:type="dxa"/>
            <w:vMerge w:val="restart"/>
            <w:tcBorders>
              <w:top w:val="single" w:color="000000" w:sz="8" w:space="0"/>
              <w:bottom w:val="nil"/>
            </w:tcBorders>
            <w:textDirection w:val="tbRlV"/>
            <w:vAlign w:val="center"/>
          </w:tcPr>
          <w:p>
            <w:pPr>
              <w:pStyle w:val="20"/>
              <w:spacing w:before="94" w:line="208" w:lineRule="auto"/>
              <w:ind w:left="773"/>
              <w:jc w:val="center"/>
              <w:rPr>
                <w:u w:val="none" w:color="auto"/>
              </w:rPr>
            </w:pPr>
            <w:r>
              <w:rPr>
                <w:spacing w:val="29"/>
                <w:u w:val="none" w:color="auto"/>
              </w:rPr>
              <w:t>打印机</w:t>
            </w:r>
          </w:p>
        </w:tc>
        <w:tc>
          <w:tcPr>
            <w:tcW w:w="441" w:type="dxa"/>
            <w:vMerge w:val="restart"/>
            <w:tcBorders>
              <w:top w:val="single" w:color="000000" w:sz="8" w:space="0"/>
              <w:bottom w:val="nil"/>
            </w:tcBorders>
            <w:vAlign w:val="center"/>
          </w:tcPr>
          <w:p>
            <w:pPr>
              <w:spacing w:line="322" w:lineRule="auto"/>
              <w:jc w:val="center"/>
              <w:rPr>
                <w:rFonts w:ascii="Arial"/>
                <w:sz w:val="21"/>
                <w:u w:val="none" w:color="auto"/>
              </w:rPr>
            </w:pPr>
          </w:p>
          <w:p>
            <w:pPr>
              <w:pStyle w:val="20"/>
              <w:spacing w:before="68" w:line="182" w:lineRule="auto"/>
              <w:ind w:left="47"/>
              <w:jc w:val="center"/>
              <w:rPr>
                <w:u w:val="none" w:color="auto"/>
              </w:rPr>
            </w:pPr>
            <w:r>
              <w:rPr>
                <w:spacing w:val="-2"/>
                <w:u w:val="none" w:color="auto"/>
              </w:rPr>
              <w:t>A4</w:t>
            </w:r>
          </w:p>
        </w:tc>
        <w:tc>
          <w:tcPr>
            <w:tcW w:w="812" w:type="dxa"/>
            <w:tcBorders>
              <w:top w:val="single" w:color="000000" w:sz="8" w:space="0"/>
            </w:tcBorders>
            <w:vAlign w:val="center"/>
          </w:tcPr>
          <w:p>
            <w:pPr>
              <w:pStyle w:val="20"/>
              <w:spacing w:before="141" w:line="221" w:lineRule="auto"/>
              <w:ind w:left="52"/>
              <w:jc w:val="center"/>
              <w:rPr>
                <w:u w:val="none" w:color="auto"/>
              </w:rPr>
            </w:pPr>
            <w:r>
              <w:rPr>
                <w:spacing w:val="-4"/>
                <w:u w:val="none" w:color="auto"/>
              </w:rPr>
              <w:t>黑白</w:t>
            </w:r>
          </w:p>
        </w:tc>
        <w:tc>
          <w:tcPr>
            <w:tcW w:w="5242" w:type="dxa"/>
            <w:vMerge w:val="restart"/>
            <w:tcBorders>
              <w:top w:val="single" w:color="000000" w:sz="8" w:space="0"/>
              <w:bottom w:val="nil"/>
              <w:right w:val="single" w:color="000000" w:sz="8" w:space="0"/>
            </w:tcBorders>
            <w:vAlign w:val="center"/>
          </w:tcPr>
          <w:p>
            <w:pPr>
              <w:pStyle w:val="20"/>
              <w:spacing w:before="141" w:line="217" w:lineRule="auto"/>
              <w:ind w:left="27"/>
              <w:jc w:val="both"/>
              <w:rPr>
                <w:u w:val="none" w:color="auto"/>
              </w:rPr>
            </w:pPr>
            <w:r>
              <w:rPr>
                <w:u w:val="none" w:color="auto"/>
              </w:rPr>
              <w:t>打印机的配置数量上限按单位编制内实有人数的</w:t>
            </w:r>
            <w:r>
              <w:rPr>
                <w:spacing w:val="-3"/>
                <w:u w:val="none" w:color="auto"/>
              </w:rPr>
              <w:t>80%计算，</w:t>
            </w:r>
            <w:r>
              <w:rPr>
                <w:spacing w:val="-33"/>
                <w:u w:val="none" w:color="auto"/>
              </w:rPr>
              <w:t xml:space="preserve"> </w:t>
            </w:r>
            <w:r>
              <w:rPr>
                <w:spacing w:val="-3"/>
                <w:u w:val="none" w:color="auto"/>
              </w:rPr>
              <w:t>由单位根据工作需要选择配置A3或A4打</w:t>
            </w:r>
            <w:r>
              <w:rPr>
                <w:spacing w:val="-1"/>
                <w:u w:val="none" w:color="auto"/>
              </w:rPr>
              <w:t>印机。其中， A3打印机配置数量上限按单位编制内实有人数的15%计算。原则上不配备彩色打印</w:t>
            </w:r>
            <w:r>
              <w:rPr>
                <w:spacing w:val="1"/>
                <w:u w:val="none" w:color="auto"/>
              </w:rPr>
              <w:t>机，确有需要的，配置数量上限按单位编制内实有</w:t>
            </w:r>
            <w:r>
              <w:rPr>
                <w:u w:val="none" w:color="auto"/>
              </w:rPr>
              <w:t>人数的3%计算。</w:t>
            </w:r>
          </w:p>
        </w:tc>
        <w:tc>
          <w:tcPr>
            <w:tcW w:w="1107" w:type="dxa"/>
            <w:tcBorders>
              <w:top w:val="single" w:color="000000" w:sz="8" w:space="0"/>
              <w:left w:val="single" w:color="000000" w:sz="8" w:space="0"/>
            </w:tcBorders>
            <w:vAlign w:val="center"/>
          </w:tcPr>
          <w:p>
            <w:pPr>
              <w:pStyle w:val="20"/>
              <w:spacing w:before="169" w:line="182" w:lineRule="auto"/>
              <w:ind w:left="67"/>
              <w:jc w:val="center"/>
              <w:rPr>
                <w:u w:val="none" w:color="auto"/>
              </w:rPr>
            </w:pPr>
            <w:r>
              <w:rPr>
                <w:spacing w:val="-4"/>
                <w:u w:val="none" w:color="auto"/>
              </w:rPr>
              <w:t>1500</w:t>
            </w:r>
          </w:p>
        </w:tc>
        <w:tc>
          <w:tcPr>
            <w:tcW w:w="990" w:type="dxa"/>
            <w:vMerge w:val="restart"/>
            <w:tcBorders>
              <w:top w:val="single" w:color="000000" w:sz="8" w:space="0"/>
              <w:bottom w:val="nil"/>
              <w:right w:val="single" w:color="000000" w:sz="8" w:space="0"/>
            </w:tcBorders>
            <w:vAlign w:val="center"/>
          </w:tcPr>
          <w:p>
            <w:pPr>
              <w:spacing w:line="324" w:lineRule="auto"/>
              <w:jc w:val="center"/>
              <w:rPr>
                <w:rFonts w:ascii="Arial"/>
                <w:sz w:val="21"/>
                <w:u w:val="none" w:color="auto"/>
              </w:rPr>
            </w:pPr>
          </w:p>
          <w:p>
            <w:pPr>
              <w:pStyle w:val="20"/>
              <w:spacing w:before="68" w:line="182" w:lineRule="auto"/>
              <w:ind w:left="58"/>
              <w:jc w:val="center"/>
              <w:rPr>
                <w:u w:val="none" w:color="auto"/>
              </w:rPr>
            </w:pPr>
            <w:r>
              <w:rPr>
                <w:u w:val="none" w:color="auto"/>
              </w:rPr>
              <w:t>6</w:t>
            </w:r>
          </w:p>
        </w:tc>
        <w:tc>
          <w:tcPr>
            <w:tcW w:w="1227" w:type="dxa"/>
            <w:vMerge w:val="continue"/>
            <w:tcBorders>
              <w:top w:val="nil"/>
              <w:left w:val="single" w:color="000000" w:sz="8" w:space="0"/>
              <w:bottom w:val="nil"/>
              <w:right w:val="single" w:color="000000" w:sz="8" w:space="0"/>
            </w:tcBorders>
            <w:vAlign w:val="top"/>
          </w:tcPr>
          <w:p>
            <w:pPr>
              <w:rPr>
                <w:rFonts w:ascii="Arial"/>
                <w:sz w:val="21"/>
                <w:u w:val="none" w:color="auto"/>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6" w:hRule="atLeast"/>
          <w:jc w:val="center"/>
        </w:trPr>
        <w:tc>
          <w:tcPr>
            <w:tcW w:w="480" w:type="dxa"/>
            <w:vMerge w:val="continue"/>
            <w:tcBorders>
              <w:top w:val="nil"/>
              <w:bottom w:val="nil"/>
            </w:tcBorders>
            <w:textDirection w:val="tbRlV"/>
            <w:vAlign w:val="center"/>
          </w:tcPr>
          <w:p>
            <w:pPr>
              <w:jc w:val="center"/>
              <w:rPr>
                <w:rFonts w:ascii="Arial"/>
                <w:sz w:val="21"/>
                <w:u w:val="none" w:color="auto"/>
              </w:rPr>
            </w:pPr>
          </w:p>
        </w:tc>
        <w:tc>
          <w:tcPr>
            <w:tcW w:w="441" w:type="dxa"/>
            <w:vMerge w:val="continue"/>
            <w:tcBorders>
              <w:top w:val="nil"/>
            </w:tcBorders>
            <w:vAlign w:val="center"/>
          </w:tcPr>
          <w:p>
            <w:pPr>
              <w:jc w:val="center"/>
              <w:rPr>
                <w:rFonts w:ascii="Arial"/>
                <w:sz w:val="21"/>
                <w:u w:val="none" w:color="auto"/>
              </w:rPr>
            </w:pPr>
          </w:p>
        </w:tc>
        <w:tc>
          <w:tcPr>
            <w:tcW w:w="812" w:type="dxa"/>
            <w:vAlign w:val="center"/>
          </w:tcPr>
          <w:p>
            <w:pPr>
              <w:pStyle w:val="20"/>
              <w:spacing w:before="143" w:line="221" w:lineRule="auto"/>
              <w:ind w:left="46"/>
              <w:jc w:val="center"/>
              <w:rPr>
                <w:u w:val="none" w:color="auto"/>
              </w:rPr>
            </w:pPr>
            <w:r>
              <w:rPr>
                <w:spacing w:val="-3"/>
                <w:u w:val="none" w:color="auto"/>
              </w:rPr>
              <w:t>彩色</w:t>
            </w:r>
          </w:p>
        </w:tc>
        <w:tc>
          <w:tcPr>
            <w:tcW w:w="5242" w:type="dxa"/>
            <w:vMerge w:val="continue"/>
            <w:tcBorders>
              <w:top w:val="nil"/>
              <w:bottom w:val="nil"/>
              <w:right w:val="single" w:color="000000" w:sz="8" w:space="0"/>
            </w:tcBorders>
            <w:vAlign w:val="top"/>
          </w:tcPr>
          <w:p>
            <w:pPr>
              <w:rPr>
                <w:rFonts w:ascii="Arial"/>
                <w:sz w:val="21"/>
                <w:u w:val="none" w:color="auto"/>
              </w:rPr>
            </w:pPr>
          </w:p>
        </w:tc>
        <w:tc>
          <w:tcPr>
            <w:tcW w:w="1107" w:type="dxa"/>
            <w:tcBorders>
              <w:left w:val="single" w:color="000000" w:sz="8" w:space="0"/>
            </w:tcBorders>
            <w:vAlign w:val="center"/>
          </w:tcPr>
          <w:p>
            <w:pPr>
              <w:pStyle w:val="20"/>
              <w:spacing w:before="170" w:line="182" w:lineRule="auto"/>
              <w:ind w:left="62"/>
              <w:jc w:val="center"/>
              <w:rPr>
                <w:u w:val="none" w:color="auto"/>
              </w:rPr>
            </w:pPr>
            <w:r>
              <w:rPr>
                <w:spacing w:val="-3"/>
                <w:u w:val="none" w:color="auto"/>
              </w:rPr>
              <w:t>2000</w:t>
            </w:r>
          </w:p>
        </w:tc>
        <w:tc>
          <w:tcPr>
            <w:tcW w:w="990" w:type="dxa"/>
            <w:vMerge w:val="continue"/>
            <w:tcBorders>
              <w:top w:val="nil"/>
              <w:right w:val="single" w:color="000000" w:sz="8" w:space="0"/>
            </w:tcBorders>
            <w:vAlign w:val="center"/>
          </w:tcPr>
          <w:p>
            <w:pPr>
              <w:jc w:val="center"/>
              <w:rPr>
                <w:rFonts w:ascii="Arial"/>
                <w:sz w:val="21"/>
                <w:u w:val="none" w:color="auto"/>
              </w:rPr>
            </w:pPr>
          </w:p>
        </w:tc>
        <w:tc>
          <w:tcPr>
            <w:tcW w:w="1227" w:type="dxa"/>
            <w:vMerge w:val="continue"/>
            <w:tcBorders>
              <w:top w:val="nil"/>
              <w:left w:val="single" w:color="000000" w:sz="8" w:space="0"/>
              <w:bottom w:val="nil"/>
              <w:right w:val="single" w:color="000000" w:sz="8" w:space="0"/>
            </w:tcBorders>
            <w:vAlign w:val="top"/>
          </w:tcPr>
          <w:p>
            <w:pPr>
              <w:rPr>
                <w:rFonts w:ascii="Arial"/>
                <w:sz w:val="21"/>
                <w:u w:val="none" w:color="auto"/>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5" w:hRule="atLeast"/>
          <w:jc w:val="center"/>
        </w:trPr>
        <w:tc>
          <w:tcPr>
            <w:tcW w:w="480" w:type="dxa"/>
            <w:vMerge w:val="continue"/>
            <w:tcBorders>
              <w:top w:val="nil"/>
              <w:bottom w:val="nil"/>
            </w:tcBorders>
            <w:textDirection w:val="tbRlV"/>
            <w:vAlign w:val="center"/>
          </w:tcPr>
          <w:p>
            <w:pPr>
              <w:jc w:val="center"/>
              <w:rPr>
                <w:rFonts w:ascii="Arial"/>
                <w:sz w:val="21"/>
                <w:u w:val="none" w:color="auto"/>
              </w:rPr>
            </w:pPr>
          </w:p>
        </w:tc>
        <w:tc>
          <w:tcPr>
            <w:tcW w:w="441" w:type="dxa"/>
            <w:vMerge w:val="restart"/>
            <w:tcBorders>
              <w:bottom w:val="nil"/>
            </w:tcBorders>
            <w:vAlign w:val="center"/>
          </w:tcPr>
          <w:p>
            <w:pPr>
              <w:spacing w:line="301" w:lineRule="auto"/>
              <w:jc w:val="center"/>
              <w:rPr>
                <w:rFonts w:ascii="Arial"/>
                <w:sz w:val="21"/>
                <w:u w:val="none" w:color="auto"/>
              </w:rPr>
            </w:pPr>
          </w:p>
          <w:p>
            <w:pPr>
              <w:pStyle w:val="20"/>
              <w:spacing w:before="69" w:line="183" w:lineRule="auto"/>
              <w:ind w:left="47"/>
              <w:jc w:val="center"/>
              <w:rPr>
                <w:u w:val="none" w:color="auto"/>
              </w:rPr>
            </w:pPr>
            <w:r>
              <w:rPr>
                <w:spacing w:val="-2"/>
                <w:u w:val="none" w:color="auto"/>
              </w:rPr>
              <w:t>A3</w:t>
            </w:r>
          </w:p>
        </w:tc>
        <w:tc>
          <w:tcPr>
            <w:tcW w:w="812" w:type="dxa"/>
            <w:tcBorders>
              <w:bottom w:val="single" w:color="000000" w:sz="8" w:space="0"/>
            </w:tcBorders>
            <w:vAlign w:val="center"/>
          </w:tcPr>
          <w:p>
            <w:pPr>
              <w:pStyle w:val="20"/>
              <w:spacing w:before="122" w:line="204" w:lineRule="auto"/>
              <w:ind w:left="52"/>
              <w:jc w:val="center"/>
              <w:rPr>
                <w:u w:val="none" w:color="auto"/>
              </w:rPr>
            </w:pPr>
            <w:r>
              <w:rPr>
                <w:spacing w:val="-4"/>
                <w:u w:val="none" w:color="auto"/>
              </w:rPr>
              <w:t>黑白</w:t>
            </w:r>
          </w:p>
        </w:tc>
        <w:tc>
          <w:tcPr>
            <w:tcW w:w="5242" w:type="dxa"/>
            <w:vMerge w:val="continue"/>
            <w:tcBorders>
              <w:top w:val="nil"/>
              <w:bottom w:val="nil"/>
              <w:right w:val="single" w:color="000000" w:sz="8" w:space="0"/>
            </w:tcBorders>
            <w:vAlign w:val="top"/>
          </w:tcPr>
          <w:p>
            <w:pPr>
              <w:rPr>
                <w:rFonts w:ascii="Arial"/>
                <w:sz w:val="21"/>
                <w:u w:val="none" w:color="auto"/>
              </w:rPr>
            </w:pPr>
          </w:p>
        </w:tc>
        <w:tc>
          <w:tcPr>
            <w:tcW w:w="1107" w:type="dxa"/>
            <w:tcBorders>
              <w:left w:val="single" w:color="000000" w:sz="8" w:space="0"/>
              <w:bottom w:val="single" w:color="000000" w:sz="8" w:space="0"/>
            </w:tcBorders>
            <w:vAlign w:val="center"/>
          </w:tcPr>
          <w:p>
            <w:pPr>
              <w:pStyle w:val="20"/>
              <w:spacing w:before="150" w:line="180" w:lineRule="auto"/>
              <w:ind w:left="64"/>
              <w:jc w:val="center"/>
              <w:rPr>
                <w:u w:val="none" w:color="auto"/>
              </w:rPr>
            </w:pPr>
            <w:r>
              <w:rPr>
                <w:spacing w:val="-3"/>
                <w:u w:val="none" w:color="auto"/>
              </w:rPr>
              <w:t>7600</w:t>
            </w:r>
          </w:p>
        </w:tc>
        <w:tc>
          <w:tcPr>
            <w:tcW w:w="990" w:type="dxa"/>
            <w:tcBorders>
              <w:bottom w:val="single" w:color="000000" w:sz="8" w:space="0"/>
              <w:right w:val="single" w:color="000000" w:sz="8" w:space="0"/>
            </w:tcBorders>
            <w:vAlign w:val="center"/>
          </w:tcPr>
          <w:p>
            <w:pPr>
              <w:pStyle w:val="20"/>
              <w:spacing w:before="150" w:line="180" w:lineRule="auto"/>
              <w:ind w:left="58"/>
              <w:jc w:val="center"/>
              <w:rPr>
                <w:u w:val="none" w:color="auto"/>
              </w:rPr>
            </w:pPr>
            <w:r>
              <w:rPr>
                <w:u w:val="none" w:color="auto"/>
              </w:rPr>
              <w:t>6</w:t>
            </w:r>
          </w:p>
        </w:tc>
        <w:tc>
          <w:tcPr>
            <w:tcW w:w="1227" w:type="dxa"/>
            <w:vMerge w:val="continue"/>
            <w:tcBorders>
              <w:top w:val="nil"/>
              <w:left w:val="single" w:color="000000" w:sz="8" w:space="0"/>
              <w:bottom w:val="nil"/>
              <w:right w:val="single" w:color="000000" w:sz="8" w:space="0"/>
            </w:tcBorders>
            <w:vAlign w:val="top"/>
          </w:tcPr>
          <w:p>
            <w:pPr>
              <w:rPr>
                <w:rFonts w:ascii="Arial"/>
                <w:sz w:val="21"/>
                <w:u w:val="none" w:color="auto"/>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5" w:hRule="atLeast"/>
          <w:jc w:val="center"/>
        </w:trPr>
        <w:tc>
          <w:tcPr>
            <w:tcW w:w="480" w:type="dxa"/>
            <w:vMerge w:val="continue"/>
            <w:tcBorders>
              <w:top w:val="nil"/>
              <w:bottom w:val="nil"/>
            </w:tcBorders>
            <w:textDirection w:val="tbRlV"/>
            <w:vAlign w:val="center"/>
          </w:tcPr>
          <w:p>
            <w:pPr>
              <w:jc w:val="center"/>
              <w:rPr>
                <w:rFonts w:ascii="Arial"/>
                <w:sz w:val="21"/>
                <w:u w:val="none" w:color="auto"/>
              </w:rPr>
            </w:pPr>
          </w:p>
        </w:tc>
        <w:tc>
          <w:tcPr>
            <w:tcW w:w="441" w:type="dxa"/>
            <w:vMerge w:val="continue"/>
            <w:tcBorders>
              <w:top w:val="nil"/>
            </w:tcBorders>
            <w:vAlign w:val="center"/>
          </w:tcPr>
          <w:p>
            <w:pPr>
              <w:jc w:val="center"/>
              <w:rPr>
                <w:rFonts w:ascii="Arial"/>
                <w:sz w:val="21"/>
                <w:u w:val="none" w:color="auto"/>
              </w:rPr>
            </w:pPr>
          </w:p>
        </w:tc>
        <w:tc>
          <w:tcPr>
            <w:tcW w:w="812" w:type="dxa"/>
            <w:tcBorders>
              <w:top w:val="single" w:color="000000" w:sz="8" w:space="0"/>
            </w:tcBorders>
            <w:vAlign w:val="center"/>
          </w:tcPr>
          <w:p>
            <w:pPr>
              <w:pStyle w:val="20"/>
              <w:spacing w:before="157" w:line="221" w:lineRule="auto"/>
              <w:ind w:left="46"/>
              <w:jc w:val="center"/>
              <w:rPr>
                <w:u w:val="none" w:color="auto"/>
              </w:rPr>
            </w:pPr>
            <w:r>
              <w:rPr>
                <w:spacing w:val="-3"/>
                <w:u w:val="none" w:color="auto"/>
              </w:rPr>
              <w:t>彩色</w:t>
            </w:r>
          </w:p>
        </w:tc>
        <w:tc>
          <w:tcPr>
            <w:tcW w:w="5242" w:type="dxa"/>
            <w:vMerge w:val="continue"/>
            <w:tcBorders>
              <w:top w:val="nil"/>
              <w:right w:val="single" w:color="000000" w:sz="8" w:space="0"/>
            </w:tcBorders>
            <w:vAlign w:val="top"/>
          </w:tcPr>
          <w:p>
            <w:pPr>
              <w:rPr>
                <w:rFonts w:ascii="Arial"/>
                <w:sz w:val="21"/>
                <w:u w:val="none" w:color="auto"/>
              </w:rPr>
            </w:pPr>
          </w:p>
        </w:tc>
        <w:tc>
          <w:tcPr>
            <w:tcW w:w="1107" w:type="dxa"/>
            <w:tcBorders>
              <w:top w:val="single" w:color="000000" w:sz="8" w:space="0"/>
              <w:left w:val="single" w:color="000000" w:sz="8" w:space="0"/>
            </w:tcBorders>
            <w:vAlign w:val="center"/>
          </w:tcPr>
          <w:p>
            <w:pPr>
              <w:pStyle w:val="20"/>
              <w:spacing w:before="184" w:line="182" w:lineRule="auto"/>
              <w:ind w:left="67"/>
              <w:jc w:val="center"/>
              <w:rPr>
                <w:u w:val="none" w:color="auto"/>
              </w:rPr>
            </w:pPr>
            <w:r>
              <w:rPr>
                <w:spacing w:val="-3"/>
                <w:u w:val="none" w:color="auto"/>
              </w:rPr>
              <w:t>15000</w:t>
            </w:r>
          </w:p>
        </w:tc>
        <w:tc>
          <w:tcPr>
            <w:tcW w:w="990" w:type="dxa"/>
            <w:tcBorders>
              <w:top w:val="single" w:color="000000" w:sz="8" w:space="0"/>
              <w:right w:val="single" w:color="000000" w:sz="8" w:space="0"/>
            </w:tcBorders>
            <w:vAlign w:val="center"/>
          </w:tcPr>
          <w:p>
            <w:pPr>
              <w:pStyle w:val="20"/>
              <w:spacing w:before="184" w:line="182" w:lineRule="auto"/>
              <w:ind w:left="58"/>
              <w:jc w:val="center"/>
              <w:rPr>
                <w:u w:val="none" w:color="auto"/>
              </w:rPr>
            </w:pPr>
            <w:r>
              <w:rPr>
                <w:u w:val="none" w:color="auto"/>
              </w:rPr>
              <w:t>6</w:t>
            </w:r>
          </w:p>
        </w:tc>
        <w:tc>
          <w:tcPr>
            <w:tcW w:w="1227" w:type="dxa"/>
            <w:vMerge w:val="continue"/>
            <w:tcBorders>
              <w:top w:val="nil"/>
              <w:left w:val="single" w:color="000000" w:sz="8" w:space="0"/>
              <w:bottom w:val="nil"/>
              <w:right w:val="single" w:color="000000" w:sz="8" w:space="0"/>
            </w:tcBorders>
            <w:vAlign w:val="top"/>
          </w:tcPr>
          <w:p>
            <w:pPr>
              <w:rPr>
                <w:rFonts w:ascii="Arial"/>
                <w:sz w:val="21"/>
                <w:u w:val="none" w:color="auto"/>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7" w:hRule="atLeast"/>
          <w:jc w:val="center"/>
        </w:trPr>
        <w:tc>
          <w:tcPr>
            <w:tcW w:w="480" w:type="dxa"/>
            <w:vMerge w:val="continue"/>
            <w:tcBorders>
              <w:top w:val="nil"/>
            </w:tcBorders>
            <w:textDirection w:val="tbRlV"/>
            <w:vAlign w:val="center"/>
          </w:tcPr>
          <w:p>
            <w:pPr>
              <w:jc w:val="center"/>
              <w:rPr>
                <w:rFonts w:ascii="Arial"/>
                <w:sz w:val="21"/>
                <w:u w:val="none" w:color="auto"/>
              </w:rPr>
            </w:pPr>
          </w:p>
        </w:tc>
        <w:tc>
          <w:tcPr>
            <w:tcW w:w="1253" w:type="dxa"/>
            <w:gridSpan w:val="2"/>
            <w:vAlign w:val="center"/>
          </w:tcPr>
          <w:p>
            <w:pPr>
              <w:pStyle w:val="20"/>
              <w:spacing w:before="161" w:line="218" w:lineRule="auto"/>
              <w:ind w:left="58"/>
              <w:jc w:val="center"/>
              <w:rPr>
                <w:u w:val="none" w:color="auto"/>
              </w:rPr>
            </w:pPr>
            <w:r>
              <w:rPr>
                <w:spacing w:val="-3"/>
                <w:u w:val="none" w:color="auto"/>
              </w:rPr>
              <w:t>票据打印机</w:t>
            </w:r>
          </w:p>
        </w:tc>
        <w:tc>
          <w:tcPr>
            <w:tcW w:w="5242" w:type="dxa"/>
            <w:tcBorders>
              <w:right w:val="single" w:color="000000" w:sz="8" w:space="0"/>
            </w:tcBorders>
            <w:vAlign w:val="top"/>
          </w:tcPr>
          <w:p>
            <w:pPr>
              <w:pStyle w:val="20"/>
              <w:spacing w:before="162" w:line="216" w:lineRule="auto"/>
              <w:ind w:left="22"/>
              <w:rPr>
                <w:rFonts w:hint="eastAsia" w:eastAsia="仿宋"/>
                <w:u w:val="none" w:color="auto"/>
                <w:lang w:eastAsia="zh-CN"/>
              </w:rPr>
            </w:pPr>
            <w:r>
              <w:rPr>
                <w:u w:val="none" w:color="auto"/>
              </w:rPr>
              <w:t>根据机构职能和工作需要合理配置</w:t>
            </w:r>
            <w:r>
              <w:rPr>
                <w:rFonts w:hint="eastAsia"/>
                <w:u w:val="none" w:color="auto"/>
                <w:lang w:eastAsia="zh-CN"/>
              </w:rPr>
              <w:t>。</w:t>
            </w:r>
          </w:p>
        </w:tc>
        <w:tc>
          <w:tcPr>
            <w:tcW w:w="1107" w:type="dxa"/>
            <w:tcBorders>
              <w:left w:val="single" w:color="000000" w:sz="8" w:space="0"/>
            </w:tcBorders>
            <w:vAlign w:val="center"/>
          </w:tcPr>
          <w:p>
            <w:pPr>
              <w:pStyle w:val="20"/>
              <w:spacing w:before="189" w:line="182" w:lineRule="auto"/>
              <w:ind w:left="71"/>
              <w:jc w:val="center"/>
              <w:rPr>
                <w:u w:val="none" w:color="auto"/>
              </w:rPr>
            </w:pPr>
            <w:r>
              <w:rPr>
                <w:spacing w:val="-5"/>
                <w:u w:val="none" w:color="auto"/>
              </w:rPr>
              <w:t>3000</w:t>
            </w:r>
          </w:p>
        </w:tc>
        <w:tc>
          <w:tcPr>
            <w:tcW w:w="990" w:type="dxa"/>
            <w:tcBorders>
              <w:right w:val="single" w:color="000000" w:sz="8" w:space="0"/>
            </w:tcBorders>
            <w:vAlign w:val="center"/>
          </w:tcPr>
          <w:p>
            <w:pPr>
              <w:pStyle w:val="20"/>
              <w:spacing w:before="189" w:line="182" w:lineRule="auto"/>
              <w:ind w:left="58"/>
              <w:jc w:val="center"/>
              <w:rPr>
                <w:u w:val="none" w:color="auto"/>
              </w:rPr>
            </w:pPr>
            <w:r>
              <w:rPr>
                <w:u w:val="none" w:color="auto"/>
              </w:rPr>
              <w:t>6</w:t>
            </w:r>
          </w:p>
        </w:tc>
        <w:tc>
          <w:tcPr>
            <w:tcW w:w="1227" w:type="dxa"/>
            <w:vMerge w:val="continue"/>
            <w:tcBorders>
              <w:top w:val="nil"/>
              <w:left w:val="single" w:color="000000" w:sz="8" w:space="0"/>
              <w:bottom w:val="nil"/>
              <w:right w:val="single" w:color="000000" w:sz="8" w:space="0"/>
            </w:tcBorders>
            <w:vAlign w:val="top"/>
          </w:tcPr>
          <w:p>
            <w:pPr>
              <w:rPr>
                <w:rFonts w:ascii="Arial"/>
                <w:sz w:val="21"/>
                <w:u w:val="none" w:color="auto"/>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28" w:hRule="atLeast"/>
          <w:jc w:val="center"/>
        </w:trPr>
        <w:tc>
          <w:tcPr>
            <w:tcW w:w="1733" w:type="dxa"/>
            <w:gridSpan w:val="3"/>
            <w:vAlign w:val="center"/>
          </w:tcPr>
          <w:p>
            <w:pPr>
              <w:pStyle w:val="20"/>
              <w:spacing w:before="190" w:line="218" w:lineRule="auto"/>
              <w:ind w:left="50"/>
              <w:jc w:val="center"/>
              <w:rPr>
                <w:u w:val="none" w:color="auto"/>
              </w:rPr>
            </w:pPr>
            <w:r>
              <w:rPr>
                <w:spacing w:val="-2"/>
                <w:u w:val="none" w:color="auto"/>
              </w:rPr>
              <w:t>高档复印机</w:t>
            </w:r>
          </w:p>
        </w:tc>
        <w:tc>
          <w:tcPr>
            <w:tcW w:w="5242" w:type="dxa"/>
            <w:tcBorders>
              <w:right w:val="single" w:color="000000" w:sz="8" w:space="0"/>
            </w:tcBorders>
            <w:vAlign w:val="top"/>
          </w:tcPr>
          <w:p>
            <w:pPr>
              <w:pStyle w:val="20"/>
              <w:spacing w:before="190" w:line="217" w:lineRule="auto"/>
              <w:ind w:left="25"/>
              <w:rPr>
                <w:rFonts w:hint="eastAsia" w:eastAsia="仿宋"/>
                <w:u w:val="none" w:color="auto"/>
                <w:lang w:eastAsia="zh-CN"/>
              </w:rPr>
            </w:pPr>
            <w:r>
              <w:rPr>
                <w:u w:val="none" w:color="auto"/>
              </w:rPr>
              <w:t>每个50人以上（含50人）的单位文印室可配一台</w:t>
            </w:r>
            <w:r>
              <w:rPr>
                <w:rFonts w:hint="eastAsia"/>
                <w:u w:val="none" w:color="auto"/>
                <w:lang w:eastAsia="zh-CN"/>
              </w:rPr>
              <w:t>。</w:t>
            </w:r>
          </w:p>
        </w:tc>
        <w:tc>
          <w:tcPr>
            <w:tcW w:w="1107" w:type="dxa"/>
            <w:tcBorders>
              <w:left w:val="single" w:color="000000" w:sz="8" w:space="0"/>
            </w:tcBorders>
            <w:vAlign w:val="center"/>
          </w:tcPr>
          <w:p>
            <w:pPr>
              <w:pStyle w:val="20"/>
              <w:spacing w:before="218" w:line="182" w:lineRule="auto"/>
              <w:ind w:left="65"/>
              <w:jc w:val="center"/>
              <w:rPr>
                <w:u w:val="none" w:color="auto"/>
              </w:rPr>
            </w:pPr>
            <w:r>
              <w:rPr>
                <w:spacing w:val="-3"/>
                <w:u w:val="none" w:color="auto"/>
              </w:rPr>
              <w:t>50000</w:t>
            </w:r>
          </w:p>
        </w:tc>
        <w:tc>
          <w:tcPr>
            <w:tcW w:w="990" w:type="dxa"/>
            <w:tcBorders>
              <w:right w:val="single" w:color="000000" w:sz="8" w:space="0"/>
            </w:tcBorders>
            <w:vAlign w:val="center"/>
          </w:tcPr>
          <w:p>
            <w:pPr>
              <w:pStyle w:val="20"/>
              <w:spacing w:before="56" w:line="202" w:lineRule="auto"/>
              <w:ind w:left="74" w:right="93" w:hanging="16"/>
              <w:jc w:val="center"/>
              <w:rPr>
                <w:u w:val="none" w:color="auto"/>
              </w:rPr>
            </w:pPr>
            <w:r>
              <w:rPr>
                <w:spacing w:val="-4"/>
                <w:u w:val="none" w:color="auto"/>
              </w:rPr>
              <w:t>6年或复</w:t>
            </w:r>
            <w:r>
              <w:rPr>
                <w:u w:val="none" w:color="auto"/>
              </w:rPr>
              <w:t xml:space="preserve">  </w:t>
            </w:r>
            <w:r>
              <w:rPr>
                <w:spacing w:val="-7"/>
                <w:u w:val="none" w:color="auto"/>
              </w:rPr>
              <w:t>印30万张</w:t>
            </w:r>
          </w:p>
        </w:tc>
        <w:tc>
          <w:tcPr>
            <w:tcW w:w="1227" w:type="dxa"/>
            <w:vMerge w:val="continue"/>
            <w:tcBorders>
              <w:top w:val="nil"/>
              <w:left w:val="single" w:color="000000" w:sz="8" w:space="0"/>
              <w:bottom w:val="nil"/>
              <w:right w:val="single" w:color="000000" w:sz="8" w:space="0"/>
            </w:tcBorders>
            <w:vAlign w:val="top"/>
          </w:tcPr>
          <w:p>
            <w:pPr>
              <w:rPr>
                <w:rFonts w:ascii="Arial"/>
                <w:sz w:val="21"/>
                <w:u w:val="none" w:color="auto"/>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51" w:hRule="atLeast"/>
          <w:jc w:val="center"/>
        </w:trPr>
        <w:tc>
          <w:tcPr>
            <w:tcW w:w="1733" w:type="dxa"/>
            <w:gridSpan w:val="3"/>
            <w:vAlign w:val="center"/>
          </w:tcPr>
          <w:p>
            <w:pPr>
              <w:spacing w:line="464" w:lineRule="auto"/>
              <w:jc w:val="center"/>
              <w:rPr>
                <w:rFonts w:ascii="Arial"/>
                <w:sz w:val="21"/>
                <w:u w:val="none" w:color="auto"/>
              </w:rPr>
            </w:pPr>
          </w:p>
          <w:p>
            <w:pPr>
              <w:pStyle w:val="20"/>
              <w:spacing w:before="68" w:line="218" w:lineRule="auto"/>
              <w:ind w:left="51"/>
              <w:jc w:val="center"/>
              <w:rPr>
                <w:u w:val="none" w:color="auto"/>
              </w:rPr>
            </w:pPr>
            <w:r>
              <w:rPr>
                <w:spacing w:val="-4"/>
                <w:u w:val="none" w:color="auto"/>
              </w:rPr>
              <w:t>复印机</w:t>
            </w:r>
          </w:p>
        </w:tc>
        <w:tc>
          <w:tcPr>
            <w:tcW w:w="5242" w:type="dxa"/>
            <w:tcBorders>
              <w:right w:val="single" w:color="000000" w:sz="8" w:space="0"/>
            </w:tcBorders>
            <w:vAlign w:val="top"/>
          </w:tcPr>
          <w:p>
            <w:pPr>
              <w:pStyle w:val="20"/>
              <w:spacing w:before="55" w:line="222" w:lineRule="auto"/>
              <w:ind w:left="34" w:right="77" w:hanging="9"/>
              <w:rPr>
                <w:rFonts w:hint="eastAsia" w:eastAsia="仿宋"/>
                <w:u w:val="none" w:color="auto"/>
                <w:lang w:eastAsia="zh-CN"/>
              </w:rPr>
            </w:pPr>
            <w:r>
              <w:rPr>
                <w:u w:val="none" w:color="auto"/>
              </w:rPr>
              <w:t>编制内实有人数在100人以内的单位，每20人可以配置1台复印机，不足20人的按20人计算；编制内实有人数在100人以上的单位，超出100人的部分每</w:t>
            </w:r>
            <w:r>
              <w:rPr>
                <w:spacing w:val="3"/>
                <w:u w:val="none" w:color="auto"/>
              </w:rPr>
              <w:t xml:space="preserve"> </w:t>
            </w:r>
            <w:r>
              <w:rPr>
                <w:u w:val="none" w:color="auto"/>
              </w:rPr>
              <w:t>30人可以配置1台复印机，不足30人的按30人计算</w:t>
            </w:r>
            <w:r>
              <w:rPr>
                <w:rFonts w:hint="eastAsia"/>
                <w:u w:val="none" w:color="auto"/>
                <w:lang w:eastAsia="zh-CN"/>
              </w:rPr>
              <w:t>。</w:t>
            </w:r>
          </w:p>
        </w:tc>
        <w:tc>
          <w:tcPr>
            <w:tcW w:w="1107" w:type="dxa"/>
            <w:tcBorders>
              <w:left w:val="single" w:color="000000" w:sz="8" w:space="0"/>
            </w:tcBorders>
            <w:vAlign w:val="center"/>
          </w:tcPr>
          <w:p>
            <w:pPr>
              <w:spacing w:line="245" w:lineRule="auto"/>
              <w:jc w:val="center"/>
              <w:rPr>
                <w:rFonts w:ascii="Arial"/>
                <w:sz w:val="21"/>
                <w:u w:val="none" w:color="auto"/>
              </w:rPr>
            </w:pPr>
          </w:p>
          <w:p>
            <w:pPr>
              <w:spacing w:line="246" w:lineRule="auto"/>
              <w:jc w:val="center"/>
              <w:rPr>
                <w:rFonts w:ascii="Arial"/>
                <w:sz w:val="21"/>
                <w:u w:val="none" w:color="auto"/>
              </w:rPr>
            </w:pPr>
          </w:p>
          <w:p>
            <w:pPr>
              <w:pStyle w:val="20"/>
              <w:spacing w:before="68" w:line="182" w:lineRule="auto"/>
              <w:ind w:left="62"/>
              <w:jc w:val="center"/>
              <w:rPr>
                <w:u w:val="none" w:color="auto"/>
              </w:rPr>
            </w:pPr>
            <w:r>
              <w:rPr>
                <w:spacing w:val="-3"/>
                <w:u w:val="none" w:color="auto"/>
              </w:rPr>
              <w:t>25000</w:t>
            </w:r>
          </w:p>
        </w:tc>
        <w:tc>
          <w:tcPr>
            <w:tcW w:w="990" w:type="dxa"/>
            <w:tcBorders>
              <w:right w:val="single" w:color="000000" w:sz="8" w:space="0"/>
            </w:tcBorders>
            <w:vAlign w:val="center"/>
          </w:tcPr>
          <w:p>
            <w:pPr>
              <w:pStyle w:val="20"/>
              <w:spacing w:before="279" w:line="227" w:lineRule="auto"/>
              <w:ind w:left="53" w:right="93" w:firstLine="4"/>
              <w:jc w:val="center"/>
              <w:rPr>
                <w:u w:val="none" w:color="auto"/>
              </w:rPr>
            </w:pPr>
            <w:r>
              <w:rPr>
                <w:spacing w:val="-4"/>
                <w:u w:val="none" w:color="auto"/>
              </w:rPr>
              <w:t>6年或复</w:t>
            </w:r>
            <w:r>
              <w:rPr>
                <w:u w:val="none" w:color="auto"/>
              </w:rPr>
              <w:t xml:space="preserve">  </w:t>
            </w:r>
            <w:r>
              <w:rPr>
                <w:spacing w:val="-3"/>
                <w:u w:val="none" w:color="auto"/>
              </w:rPr>
              <w:t>印30万张</w:t>
            </w:r>
            <w:r>
              <w:rPr>
                <w:spacing w:val="3"/>
                <w:u w:val="none" w:color="auto"/>
              </w:rPr>
              <w:t xml:space="preserve"> </w:t>
            </w:r>
            <w:r>
              <w:rPr>
                <w:u w:val="none" w:color="auto"/>
              </w:rPr>
              <w:t>纸</w:t>
            </w:r>
          </w:p>
        </w:tc>
        <w:tc>
          <w:tcPr>
            <w:tcW w:w="1227" w:type="dxa"/>
            <w:vMerge w:val="continue"/>
            <w:tcBorders>
              <w:top w:val="nil"/>
              <w:left w:val="single" w:color="000000" w:sz="8" w:space="0"/>
              <w:bottom w:val="nil"/>
              <w:right w:val="single" w:color="000000" w:sz="8" w:space="0"/>
            </w:tcBorders>
            <w:vAlign w:val="top"/>
          </w:tcPr>
          <w:p>
            <w:pPr>
              <w:rPr>
                <w:rFonts w:ascii="Arial"/>
                <w:sz w:val="21"/>
                <w:u w:val="none" w:color="auto"/>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4" w:hRule="atLeast"/>
          <w:jc w:val="center"/>
        </w:trPr>
        <w:tc>
          <w:tcPr>
            <w:tcW w:w="1733" w:type="dxa"/>
            <w:gridSpan w:val="3"/>
            <w:tcBorders>
              <w:bottom w:val="single" w:color="000000" w:sz="8" w:space="0"/>
            </w:tcBorders>
            <w:vAlign w:val="center"/>
          </w:tcPr>
          <w:p>
            <w:pPr>
              <w:pStyle w:val="20"/>
              <w:spacing w:before="170" w:line="220" w:lineRule="auto"/>
              <w:ind w:left="54"/>
              <w:jc w:val="center"/>
              <w:rPr>
                <w:u w:val="none" w:color="auto"/>
              </w:rPr>
            </w:pPr>
            <w:r>
              <w:rPr>
                <w:spacing w:val="-3"/>
                <w:u w:val="none" w:color="auto"/>
              </w:rPr>
              <w:t>一体机/传真机</w:t>
            </w:r>
          </w:p>
        </w:tc>
        <w:tc>
          <w:tcPr>
            <w:tcW w:w="5242" w:type="dxa"/>
            <w:tcBorders>
              <w:bottom w:val="single" w:color="000000" w:sz="8" w:space="0"/>
              <w:right w:val="single" w:color="000000" w:sz="8" w:space="0"/>
            </w:tcBorders>
            <w:vAlign w:val="top"/>
          </w:tcPr>
          <w:p>
            <w:pPr>
              <w:pStyle w:val="20"/>
              <w:spacing w:line="39" w:lineRule="exact"/>
              <w:ind w:left="40"/>
              <w:rPr>
                <w:sz w:val="9"/>
                <w:szCs w:val="9"/>
                <w:u w:val="none" w:color="auto"/>
              </w:rPr>
            </w:pPr>
            <w:r>
              <w:rPr>
                <w:position w:val="1"/>
                <w:sz w:val="9"/>
                <w:szCs w:val="9"/>
                <w:u w:val="none" w:color="auto"/>
              </w:rPr>
              <w:t>。</w:t>
            </w:r>
          </w:p>
          <w:p>
            <w:pPr>
              <w:pStyle w:val="20"/>
              <w:spacing w:before="133" w:line="217" w:lineRule="auto"/>
              <w:ind w:left="34"/>
              <w:rPr>
                <w:rFonts w:hint="eastAsia" w:eastAsia="仿宋"/>
                <w:u w:val="none" w:color="auto"/>
                <w:lang w:eastAsia="zh-CN"/>
              </w:rPr>
            </w:pPr>
            <w:r>
              <w:rPr>
                <w:u w:val="none" w:color="auto"/>
              </w:rPr>
              <w:t>配置数量上限按单位编制内实有人数的30%计算</w:t>
            </w:r>
            <w:r>
              <w:rPr>
                <w:rFonts w:hint="eastAsia"/>
                <w:u w:val="none" w:color="auto"/>
                <w:lang w:eastAsia="zh-CN"/>
              </w:rPr>
              <w:t>。</w:t>
            </w:r>
          </w:p>
        </w:tc>
        <w:tc>
          <w:tcPr>
            <w:tcW w:w="1107" w:type="dxa"/>
            <w:tcBorders>
              <w:left w:val="single" w:color="000000" w:sz="8" w:space="0"/>
              <w:bottom w:val="single" w:color="000000" w:sz="8" w:space="0"/>
            </w:tcBorders>
            <w:vAlign w:val="center"/>
          </w:tcPr>
          <w:p>
            <w:pPr>
              <w:pStyle w:val="20"/>
              <w:spacing w:before="200" w:line="182" w:lineRule="auto"/>
              <w:ind w:left="71"/>
              <w:jc w:val="center"/>
              <w:rPr>
                <w:u w:val="none" w:color="auto"/>
              </w:rPr>
            </w:pPr>
            <w:r>
              <w:rPr>
                <w:spacing w:val="-5"/>
                <w:u w:val="none" w:color="auto"/>
              </w:rPr>
              <w:t>3000</w:t>
            </w:r>
          </w:p>
        </w:tc>
        <w:tc>
          <w:tcPr>
            <w:tcW w:w="990" w:type="dxa"/>
            <w:tcBorders>
              <w:bottom w:val="single" w:color="000000" w:sz="8" w:space="0"/>
              <w:right w:val="single" w:color="000000" w:sz="8" w:space="0"/>
            </w:tcBorders>
            <w:vAlign w:val="center"/>
          </w:tcPr>
          <w:p>
            <w:pPr>
              <w:pStyle w:val="20"/>
              <w:spacing w:before="200" w:line="182" w:lineRule="auto"/>
              <w:ind w:left="58"/>
              <w:jc w:val="center"/>
              <w:rPr>
                <w:u w:val="none" w:color="auto"/>
              </w:rPr>
            </w:pPr>
            <w:r>
              <w:rPr>
                <w:u w:val="none" w:color="auto"/>
              </w:rPr>
              <w:t>6</w:t>
            </w:r>
          </w:p>
        </w:tc>
        <w:tc>
          <w:tcPr>
            <w:tcW w:w="1227" w:type="dxa"/>
            <w:vMerge w:val="continue"/>
            <w:tcBorders>
              <w:top w:val="nil"/>
              <w:left w:val="single" w:color="000000" w:sz="8" w:space="0"/>
              <w:bottom w:val="nil"/>
              <w:right w:val="single" w:color="000000" w:sz="8" w:space="0"/>
            </w:tcBorders>
            <w:vAlign w:val="top"/>
          </w:tcPr>
          <w:p>
            <w:pPr>
              <w:rPr>
                <w:rFonts w:ascii="Arial"/>
                <w:sz w:val="21"/>
                <w:u w:val="none" w:color="auto"/>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1" w:hRule="atLeast"/>
          <w:jc w:val="center"/>
        </w:trPr>
        <w:tc>
          <w:tcPr>
            <w:tcW w:w="1733" w:type="dxa"/>
            <w:gridSpan w:val="3"/>
            <w:tcBorders>
              <w:top w:val="single" w:color="000000" w:sz="8" w:space="0"/>
              <w:bottom w:val="single" w:color="000000" w:sz="8" w:space="0"/>
            </w:tcBorders>
            <w:vAlign w:val="center"/>
          </w:tcPr>
          <w:p>
            <w:pPr>
              <w:pStyle w:val="20"/>
              <w:spacing w:before="180" w:line="218" w:lineRule="auto"/>
              <w:ind w:left="50"/>
              <w:jc w:val="center"/>
              <w:rPr>
                <w:u w:val="none" w:color="auto"/>
              </w:rPr>
            </w:pPr>
            <w:r>
              <w:rPr>
                <w:spacing w:val="-4"/>
                <w:u w:val="none" w:color="auto"/>
              </w:rPr>
              <w:t>扫描仪</w:t>
            </w:r>
          </w:p>
        </w:tc>
        <w:tc>
          <w:tcPr>
            <w:tcW w:w="5242" w:type="dxa"/>
            <w:tcBorders>
              <w:top w:val="single" w:color="000000" w:sz="8" w:space="0"/>
              <w:bottom w:val="single" w:color="000000" w:sz="8" w:space="0"/>
              <w:right w:val="single" w:color="000000" w:sz="8" w:space="0"/>
            </w:tcBorders>
            <w:vAlign w:val="top"/>
          </w:tcPr>
          <w:p>
            <w:pPr>
              <w:pStyle w:val="20"/>
              <w:spacing w:before="179" w:line="217" w:lineRule="auto"/>
              <w:ind w:left="34"/>
              <w:rPr>
                <w:u w:val="none" w:color="auto"/>
              </w:rPr>
            </w:pPr>
            <w:r>
              <w:rPr>
                <w:u w:val="none" w:color="auto"/>
              </w:rPr>
              <w:t>配置数量上限按单位编制内实有人数的5%</w:t>
            </w:r>
            <w:r>
              <w:rPr>
                <w:spacing w:val="-1"/>
                <w:u w:val="none" w:color="auto"/>
              </w:rPr>
              <w:t>计算</w:t>
            </w:r>
            <w:r>
              <w:rPr>
                <w:rFonts w:hint="eastAsia"/>
                <w:u w:val="none" w:color="auto"/>
                <w:lang w:eastAsia="zh-CN"/>
              </w:rPr>
              <w:t>。</w:t>
            </w:r>
          </w:p>
        </w:tc>
        <w:tc>
          <w:tcPr>
            <w:tcW w:w="1107" w:type="dxa"/>
            <w:tcBorders>
              <w:top w:val="single" w:color="000000" w:sz="8" w:space="0"/>
              <w:left w:val="single" w:color="000000" w:sz="8" w:space="0"/>
              <w:bottom w:val="single" w:color="000000" w:sz="8" w:space="0"/>
            </w:tcBorders>
            <w:vAlign w:val="center"/>
          </w:tcPr>
          <w:p>
            <w:pPr>
              <w:pStyle w:val="20"/>
              <w:spacing w:before="207" w:line="182" w:lineRule="auto"/>
              <w:ind w:left="61"/>
              <w:jc w:val="center"/>
              <w:rPr>
                <w:u w:val="none" w:color="auto"/>
              </w:rPr>
            </w:pPr>
            <w:r>
              <w:rPr>
                <w:spacing w:val="-3"/>
                <w:u w:val="none" w:color="auto"/>
              </w:rPr>
              <w:t>4000</w:t>
            </w:r>
          </w:p>
        </w:tc>
        <w:tc>
          <w:tcPr>
            <w:tcW w:w="990" w:type="dxa"/>
            <w:tcBorders>
              <w:top w:val="single" w:color="000000" w:sz="8" w:space="0"/>
              <w:bottom w:val="single" w:color="000000" w:sz="8" w:space="0"/>
              <w:right w:val="single" w:color="000000" w:sz="8" w:space="0"/>
            </w:tcBorders>
            <w:vAlign w:val="center"/>
          </w:tcPr>
          <w:p>
            <w:pPr>
              <w:pStyle w:val="20"/>
              <w:spacing w:before="207" w:line="182" w:lineRule="auto"/>
              <w:ind w:left="58"/>
              <w:jc w:val="center"/>
              <w:rPr>
                <w:u w:val="none" w:color="auto"/>
              </w:rPr>
            </w:pPr>
            <w:r>
              <w:rPr>
                <w:u w:val="none" w:color="auto"/>
              </w:rPr>
              <w:t>6</w:t>
            </w:r>
          </w:p>
        </w:tc>
        <w:tc>
          <w:tcPr>
            <w:tcW w:w="1227" w:type="dxa"/>
            <w:vMerge w:val="continue"/>
            <w:tcBorders>
              <w:top w:val="nil"/>
              <w:left w:val="single" w:color="000000" w:sz="8" w:space="0"/>
              <w:bottom w:val="nil"/>
              <w:right w:val="single" w:color="000000" w:sz="8" w:space="0"/>
            </w:tcBorders>
            <w:vAlign w:val="top"/>
          </w:tcPr>
          <w:p>
            <w:pPr>
              <w:rPr>
                <w:rFonts w:ascii="Arial"/>
                <w:sz w:val="21"/>
                <w:u w:val="none" w:color="auto"/>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9" w:hRule="atLeast"/>
          <w:jc w:val="center"/>
        </w:trPr>
        <w:tc>
          <w:tcPr>
            <w:tcW w:w="1733" w:type="dxa"/>
            <w:gridSpan w:val="3"/>
            <w:tcBorders>
              <w:top w:val="single" w:color="000000" w:sz="8" w:space="0"/>
            </w:tcBorders>
            <w:vAlign w:val="center"/>
          </w:tcPr>
          <w:p>
            <w:pPr>
              <w:pStyle w:val="20"/>
              <w:spacing w:before="173" w:line="217" w:lineRule="auto"/>
              <w:ind w:left="41"/>
              <w:jc w:val="center"/>
              <w:rPr>
                <w:u w:val="none" w:color="auto"/>
              </w:rPr>
            </w:pPr>
            <w:r>
              <w:rPr>
                <w:spacing w:val="-2"/>
                <w:u w:val="none" w:color="auto"/>
              </w:rPr>
              <w:t>碎纸机</w:t>
            </w:r>
          </w:p>
        </w:tc>
        <w:tc>
          <w:tcPr>
            <w:tcW w:w="5242" w:type="dxa"/>
            <w:tcBorders>
              <w:top w:val="single" w:color="000000" w:sz="8" w:space="0"/>
              <w:right w:val="single" w:color="000000" w:sz="8" w:space="0"/>
            </w:tcBorders>
            <w:vAlign w:val="top"/>
          </w:tcPr>
          <w:p>
            <w:pPr>
              <w:pStyle w:val="20"/>
              <w:spacing w:before="173" w:line="217" w:lineRule="auto"/>
              <w:ind w:left="34"/>
              <w:rPr>
                <w:u w:val="none" w:color="auto"/>
              </w:rPr>
            </w:pPr>
            <w:r>
              <w:rPr>
                <w:u w:val="none" w:color="auto"/>
              </w:rPr>
              <w:t>配置数量上限按单位编制内实有人数的5%</w:t>
            </w:r>
            <w:r>
              <w:rPr>
                <w:spacing w:val="-1"/>
                <w:u w:val="none" w:color="auto"/>
              </w:rPr>
              <w:t>计算</w:t>
            </w:r>
            <w:r>
              <w:rPr>
                <w:rFonts w:hint="eastAsia"/>
                <w:u w:val="none" w:color="auto"/>
                <w:lang w:eastAsia="zh-CN"/>
              </w:rPr>
              <w:t>。</w:t>
            </w:r>
          </w:p>
        </w:tc>
        <w:tc>
          <w:tcPr>
            <w:tcW w:w="1107" w:type="dxa"/>
            <w:tcBorders>
              <w:top w:val="single" w:color="000000" w:sz="8" w:space="0"/>
              <w:left w:val="single" w:color="000000" w:sz="8" w:space="0"/>
            </w:tcBorders>
            <w:vAlign w:val="center"/>
          </w:tcPr>
          <w:p>
            <w:pPr>
              <w:pStyle w:val="20"/>
              <w:spacing w:before="200" w:line="182" w:lineRule="auto"/>
              <w:ind w:left="67"/>
              <w:jc w:val="center"/>
              <w:rPr>
                <w:u w:val="none" w:color="auto"/>
              </w:rPr>
            </w:pPr>
            <w:r>
              <w:rPr>
                <w:spacing w:val="-4"/>
                <w:u w:val="none" w:color="auto"/>
              </w:rPr>
              <w:t>1000</w:t>
            </w:r>
          </w:p>
        </w:tc>
        <w:tc>
          <w:tcPr>
            <w:tcW w:w="990" w:type="dxa"/>
            <w:tcBorders>
              <w:top w:val="single" w:color="000000" w:sz="8" w:space="0"/>
              <w:right w:val="single" w:color="000000" w:sz="8" w:space="0"/>
            </w:tcBorders>
            <w:vAlign w:val="center"/>
          </w:tcPr>
          <w:p>
            <w:pPr>
              <w:pStyle w:val="20"/>
              <w:spacing w:before="200" w:line="182" w:lineRule="auto"/>
              <w:ind w:left="58"/>
              <w:jc w:val="center"/>
              <w:rPr>
                <w:u w:val="none" w:color="auto"/>
              </w:rPr>
            </w:pPr>
            <w:r>
              <w:rPr>
                <w:u w:val="none" w:color="auto"/>
              </w:rPr>
              <w:t>6</w:t>
            </w:r>
          </w:p>
        </w:tc>
        <w:tc>
          <w:tcPr>
            <w:tcW w:w="1227" w:type="dxa"/>
            <w:vMerge w:val="continue"/>
            <w:tcBorders>
              <w:top w:val="nil"/>
              <w:left w:val="single" w:color="000000" w:sz="8" w:space="0"/>
              <w:bottom w:val="nil"/>
              <w:right w:val="single" w:color="000000" w:sz="8" w:space="0"/>
            </w:tcBorders>
            <w:vAlign w:val="top"/>
          </w:tcPr>
          <w:p>
            <w:pPr>
              <w:rPr>
                <w:rFonts w:ascii="Arial"/>
                <w:sz w:val="21"/>
                <w:u w:val="none" w:color="auto"/>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18" w:hRule="atLeast"/>
          <w:jc w:val="center"/>
        </w:trPr>
        <w:tc>
          <w:tcPr>
            <w:tcW w:w="1733" w:type="dxa"/>
            <w:gridSpan w:val="3"/>
            <w:tcBorders>
              <w:bottom w:val="single" w:color="000000" w:sz="8" w:space="0"/>
            </w:tcBorders>
            <w:vAlign w:val="center"/>
          </w:tcPr>
          <w:p>
            <w:pPr>
              <w:pStyle w:val="20"/>
              <w:spacing w:before="69" w:line="218" w:lineRule="auto"/>
              <w:jc w:val="center"/>
              <w:rPr>
                <w:u w:val="none" w:color="auto"/>
              </w:rPr>
            </w:pPr>
            <w:r>
              <w:rPr>
                <w:spacing w:val="-2"/>
                <w:u w:val="none" w:color="auto"/>
              </w:rPr>
              <w:t>投影仪</w:t>
            </w:r>
          </w:p>
        </w:tc>
        <w:tc>
          <w:tcPr>
            <w:tcW w:w="5242" w:type="dxa"/>
            <w:tcBorders>
              <w:bottom w:val="single" w:color="000000" w:sz="8" w:space="0"/>
              <w:right w:val="single" w:color="000000" w:sz="8" w:space="0"/>
            </w:tcBorders>
            <w:vAlign w:val="top"/>
          </w:tcPr>
          <w:p>
            <w:pPr>
              <w:pStyle w:val="20"/>
              <w:spacing w:before="70" w:line="222" w:lineRule="auto"/>
              <w:ind w:left="34" w:right="77" w:hanging="9"/>
              <w:rPr>
                <w:u w:val="none" w:color="auto"/>
              </w:rPr>
            </w:pPr>
            <w:r>
              <w:rPr>
                <w:u w:val="none" w:color="auto"/>
              </w:rPr>
              <w:t>编制内实有人数在100人以内的单位，每20人可以配置1台投影仪，不足20人的按20人计算；编制内实有人数在100人以上的单位，超出100人的部分每</w:t>
            </w:r>
            <w:r>
              <w:rPr>
                <w:spacing w:val="3"/>
                <w:u w:val="none" w:color="auto"/>
              </w:rPr>
              <w:t xml:space="preserve"> </w:t>
            </w:r>
            <w:r>
              <w:rPr>
                <w:u w:val="none" w:color="auto"/>
              </w:rPr>
              <w:t>30人可以配置1台投影仪，不足30人的按30人计算</w:t>
            </w:r>
            <w:r>
              <w:rPr>
                <w:rFonts w:hint="eastAsia"/>
                <w:u w:val="none" w:color="auto"/>
                <w:lang w:eastAsia="zh-CN"/>
              </w:rPr>
              <w:t>。</w:t>
            </w:r>
          </w:p>
        </w:tc>
        <w:tc>
          <w:tcPr>
            <w:tcW w:w="1107" w:type="dxa"/>
            <w:tcBorders>
              <w:left w:val="single" w:color="000000" w:sz="8" w:space="0"/>
              <w:bottom w:val="single" w:color="000000" w:sz="8" w:space="0"/>
            </w:tcBorders>
            <w:vAlign w:val="center"/>
          </w:tcPr>
          <w:p>
            <w:pPr>
              <w:spacing w:line="253" w:lineRule="auto"/>
              <w:jc w:val="center"/>
              <w:rPr>
                <w:rFonts w:ascii="Arial"/>
                <w:sz w:val="21"/>
                <w:u w:val="none" w:color="auto"/>
              </w:rPr>
            </w:pPr>
          </w:p>
          <w:p>
            <w:pPr>
              <w:spacing w:line="253" w:lineRule="auto"/>
              <w:jc w:val="center"/>
              <w:rPr>
                <w:rFonts w:ascii="Arial"/>
                <w:sz w:val="21"/>
                <w:u w:val="none" w:color="auto"/>
              </w:rPr>
            </w:pPr>
          </w:p>
          <w:p>
            <w:pPr>
              <w:pStyle w:val="20"/>
              <w:spacing w:before="68" w:line="182" w:lineRule="auto"/>
              <w:ind w:left="67"/>
              <w:jc w:val="center"/>
              <w:rPr>
                <w:u w:val="none" w:color="auto"/>
              </w:rPr>
            </w:pPr>
            <w:r>
              <w:rPr>
                <w:spacing w:val="-3"/>
                <w:u w:val="none" w:color="auto"/>
              </w:rPr>
              <w:t>10000</w:t>
            </w:r>
          </w:p>
        </w:tc>
        <w:tc>
          <w:tcPr>
            <w:tcW w:w="990" w:type="dxa"/>
            <w:tcBorders>
              <w:bottom w:val="single" w:color="000000" w:sz="8" w:space="0"/>
              <w:right w:val="single" w:color="000000" w:sz="8" w:space="0"/>
            </w:tcBorders>
            <w:vAlign w:val="center"/>
          </w:tcPr>
          <w:p>
            <w:pPr>
              <w:spacing w:line="253" w:lineRule="auto"/>
              <w:jc w:val="center"/>
              <w:rPr>
                <w:rFonts w:ascii="Arial"/>
                <w:sz w:val="21"/>
                <w:u w:val="none" w:color="auto"/>
              </w:rPr>
            </w:pPr>
          </w:p>
          <w:p>
            <w:pPr>
              <w:spacing w:line="253" w:lineRule="auto"/>
              <w:jc w:val="center"/>
              <w:rPr>
                <w:rFonts w:ascii="Arial"/>
                <w:sz w:val="21"/>
                <w:u w:val="none" w:color="auto"/>
              </w:rPr>
            </w:pPr>
          </w:p>
          <w:p>
            <w:pPr>
              <w:pStyle w:val="20"/>
              <w:spacing w:before="68" w:line="182" w:lineRule="auto"/>
              <w:ind w:left="58"/>
              <w:jc w:val="center"/>
              <w:rPr>
                <w:u w:val="none" w:color="auto"/>
              </w:rPr>
            </w:pPr>
            <w:r>
              <w:rPr>
                <w:u w:val="none" w:color="auto"/>
              </w:rPr>
              <w:t>6</w:t>
            </w:r>
          </w:p>
        </w:tc>
        <w:tc>
          <w:tcPr>
            <w:tcW w:w="1227" w:type="dxa"/>
            <w:vMerge w:val="continue"/>
            <w:tcBorders>
              <w:top w:val="nil"/>
              <w:left w:val="single" w:color="000000" w:sz="8" w:space="0"/>
              <w:bottom w:val="nil"/>
              <w:right w:val="single" w:color="000000" w:sz="8" w:space="0"/>
            </w:tcBorders>
            <w:vAlign w:val="top"/>
          </w:tcPr>
          <w:p>
            <w:pPr>
              <w:rPr>
                <w:rFonts w:ascii="Arial"/>
                <w:sz w:val="21"/>
                <w:u w:val="none" w:color="auto"/>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4" w:hRule="atLeast"/>
          <w:jc w:val="center"/>
        </w:trPr>
        <w:tc>
          <w:tcPr>
            <w:tcW w:w="480" w:type="dxa"/>
            <w:vMerge w:val="restart"/>
            <w:tcBorders>
              <w:top w:val="single" w:color="000000" w:sz="8" w:space="0"/>
              <w:bottom w:val="nil"/>
            </w:tcBorders>
            <w:vAlign w:val="center"/>
          </w:tcPr>
          <w:p>
            <w:pPr>
              <w:pStyle w:val="20"/>
              <w:spacing w:before="94" w:line="209" w:lineRule="auto"/>
              <w:ind w:left="145"/>
              <w:jc w:val="both"/>
              <w:rPr>
                <w:u w:val="none" w:color="auto"/>
              </w:rPr>
            </w:pPr>
            <w:r>
              <w:rPr>
                <w:rFonts w:hint="eastAsia"/>
                <w:spacing w:val="30"/>
                <w:u w:val="none" w:color="auto"/>
                <w:lang w:eastAsia="zh-CN"/>
              </w:rPr>
              <w:t>照相</w:t>
            </w:r>
            <w:r>
              <w:rPr>
                <w:spacing w:val="30"/>
                <w:u w:val="none" w:color="auto"/>
              </w:rPr>
              <w:t>机</w:t>
            </w:r>
          </w:p>
        </w:tc>
        <w:tc>
          <w:tcPr>
            <w:tcW w:w="1253" w:type="dxa"/>
            <w:gridSpan w:val="2"/>
            <w:tcBorders>
              <w:top w:val="single" w:color="000000" w:sz="8" w:space="0"/>
            </w:tcBorders>
            <w:vAlign w:val="center"/>
          </w:tcPr>
          <w:p>
            <w:pPr>
              <w:pStyle w:val="20"/>
              <w:spacing w:before="162" w:line="218" w:lineRule="auto"/>
              <w:ind w:left="56"/>
              <w:jc w:val="center"/>
              <w:rPr>
                <w:u w:val="none" w:color="auto"/>
              </w:rPr>
            </w:pPr>
            <w:r>
              <w:rPr>
                <w:spacing w:val="-3"/>
                <w:u w:val="none" w:color="auto"/>
              </w:rPr>
              <w:t>普通相机</w:t>
            </w:r>
          </w:p>
        </w:tc>
        <w:tc>
          <w:tcPr>
            <w:tcW w:w="5242" w:type="dxa"/>
            <w:vMerge w:val="restart"/>
            <w:tcBorders>
              <w:top w:val="single" w:color="000000" w:sz="8" w:space="0"/>
              <w:bottom w:val="nil"/>
              <w:right w:val="single" w:color="000000" w:sz="8" w:space="0"/>
            </w:tcBorders>
            <w:vAlign w:val="top"/>
          </w:tcPr>
          <w:p>
            <w:pPr>
              <w:pStyle w:val="20"/>
              <w:spacing w:before="146" w:line="222" w:lineRule="auto"/>
              <w:ind w:left="22" w:right="65"/>
              <w:jc w:val="both"/>
              <w:rPr>
                <w:u w:val="none" w:color="auto"/>
              </w:rPr>
            </w:pPr>
            <w:r>
              <w:rPr>
                <w:spacing w:val="1"/>
                <w:u w:val="none" w:color="auto"/>
              </w:rPr>
              <w:t>相机配置总数不得超过单位人数的2%，不足50人按</w:t>
            </w:r>
            <w:r>
              <w:rPr>
                <w:u w:val="none" w:color="auto"/>
              </w:rPr>
              <w:t xml:space="preserve"> </w:t>
            </w:r>
            <w:r>
              <w:rPr>
                <w:spacing w:val="1"/>
                <w:u w:val="none" w:color="auto"/>
              </w:rPr>
              <w:t>50人计算，因特殊职能需配置高档相机的，每个单位可配置1台</w:t>
            </w:r>
            <w:r>
              <w:rPr>
                <w:rFonts w:hint="eastAsia"/>
                <w:u w:val="none" w:color="auto"/>
                <w:lang w:eastAsia="zh-CN"/>
              </w:rPr>
              <w:t>。</w:t>
            </w:r>
          </w:p>
        </w:tc>
        <w:tc>
          <w:tcPr>
            <w:tcW w:w="1107" w:type="dxa"/>
            <w:tcBorders>
              <w:top w:val="single" w:color="000000" w:sz="8" w:space="0"/>
              <w:left w:val="single" w:color="000000" w:sz="8" w:space="0"/>
            </w:tcBorders>
            <w:vAlign w:val="center"/>
          </w:tcPr>
          <w:p>
            <w:pPr>
              <w:pStyle w:val="20"/>
              <w:spacing w:before="189" w:line="182" w:lineRule="auto"/>
              <w:ind w:left="61"/>
              <w:jc w:val="center"/>
              <w:rPr>
                <w:u w:val="none" w:color="auto"/>
              </w:rPr>
            </w:pPr>
            <w:r>
              <w:rPr>
                <w:spacing w:val="-3"/>
                <w:u w:val="none" w:color="auto"/>
              </w:rPr>
              <w:t>4000</w:t>
            </w:r>
          </w:p>
        </w:tc>
        <w:tc>
          <w:tcPr>
            <w:tcW w:w="990" w:type="dxa"/>
            <w:vMerge w:val="restart"/>
            <w:tcBorders>
              <w:top w:val="single" w:color="000000" w:sz="8" w:space="0"/>
              <w:bottom w:val="nil"/>
              <w:right w:val="single" w:color="000000" w:sz="8" w:space="0"/>
            </w:tcBorders>
            <w:vAlign w:val="center"/>
          </w:tcPr>
          <w:p>
            <w:pPr>
              <w:spacing w:line="359" w:lineRule="auto"/>
              <w:jc w:val="center"/>
              <w:rPr>
                <w:rFonts w:ascii="Arial"/>
                <w:sz w:val="21"/>
                <w:u w:val="none" w:color="auto"/>
              </w:rPr>
            </w:pPr>
          </w:p>
          <w:p>
            <w:pPr>
              <w:pStyle w:val="20"/>
              <w:spacing w:before="68" w:line="182" w:lineRule="auto"/>
              <w:ind w:left="58"/>
              <w:jc w:val="center"/>
              <w:rPr>
                <w:u w:val="none" w:color="auto"/>
              </w:rPr>
            </w:pPr>
            <w:r>
              <w:rPr>
                <w:u w:val="none" w:color="auto"/>
              </w:rPr>
              <w:t>8</w:t>
            </w:r>
          </w:p>
        </w:tc>
        <w:tc>
          <w:tcPr>
            <w:tcW w:w="1227" w:type="dxa"/>
            <w:vMerge w:val="continue"/>
            <w:tcBorders>
              <w:top w:val="nil"/>
              <w:left w:val="single" w:color="000000" w:sz="8" w:space="0"/>
              <w:bottom w:val="nil"/>
              <w:right w:val="single" w:color="000000" w:sz="8" w:space="0"/>
            </w:tcBorders>
            <w:vAlign w:val="top"/>
          </w:tcPr>
          <w:p>
            <w:pPr>
              <w:rPr>
                <w:rFonts w:ascii="Arial"/>
                <w:sz w:val="21"/>
                <w:u w:val="none" w:color="auto"/>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5" w:hRule="atLeast"/>
          <w:jc w:val="center"/>
        </w:trPr>
        <w:tc>
          <w:tcPr>
            <w:tcW w:w="480" w:type="dxa"/>
            <w:vMerge w:val="continue"/>
            <w:tcBorders>
              <w:top w:val="nil"/>
              <w:bottom w:val="single" w:color="000000" w:sz="8" w:space="0"/>
            </w:tcBorders>
            <w:textDirection w:val="tbRlV"/>
            <w:vAlign w:val="center"/>
          </w:tcPr>
          <w:p>
            <w:pPr>
              <w:jc w:val="center"/>
              <w:rPr>
                <w:rFonts w:ascii="Arial"/>
                <w:sz w:val="21"/>
                <w:u w:val="none" w:color="auto"/>
              </w:rPr>
            </w:pPr>
          </w:p>
        </w:tc>
        <w:tc>
          <w:tcPr>
            <w:tcW w:w="1253" w:type="dxa"/>
            <w:gridSpan w:val="2"/>
            <w:tcBorders>
              <w:bottom w:val="single" w:color="000000" w:sz="8" w:space="0"/>
            </w:tcBorders>
            <w:vAlign w:val="center"/>
          </w:tcPr>
          <w:p>
            <w:pPr>
              <w:pStyle w:val="20"/>
              <w:spacing w:before="166" w:line="218" w:lineRule="auto"/>
              <w:ind w:left="56"/>
              <w:jc w:val="center"/>
              <w:rPr>
                <w:u w:val="none" w:color="auto"/>
              </w:rPr>
            </w:pPr>
            <w:r>
              <w:rPr>
                <w:spacing w:val="-3"/>
                <w:u w:val="none" w:color="auto"/>
              </w:rPr>
              <w:t>高档相机</w:t>
            </w:r>
          </w:p>
        </w:tc>
        <w:tc>
          <w:tcPr>
            <w:tcW w:w="5242" w:type="dxa"/>
            <w:vMerge w:val="continue"/>
            <w:tcBorders>
              <w:top w:val="nil"/>
              <w:bottom w:val="single" w:color="000000" w:sz="8" w:space="0"/>
              <w:right w:val="single" w:color="000000" w:sz="8" w:space="0"/>
            </w:tcBorders>
            <w:vAlign w:val="top"/>
          </w:tcPr>
          <w:p>
            <w:pPr>
              <w:rPr>
                <w:rFonts w:ascii="Arial"/>
                <w:sz w:val="21"/>
                <w:u w:val="none" w:color="auto"/>
              </w:rPr>
            </w:pPr>
          </w:p>
        </w:tc>
        <w:tc>
          <w:tcPr>
            <w:tcW w:w="1107" w:type="dxa"/>
            <w:tcBorders>
              <w:left w:val="single" w:color="000000" w:sz="8" w:space="0"/>
              <w:bottom w:val="single" w:color="000000" w:sz="8" w:space="0"/>
            </w:tcBorders>
            <w:vAlign w:val="center"/>
          </w:tcPr>
          <w:p>
            <w:pPr>
              <w:pStyle w:val="20"/>
              <w:spacing w:before="194" w:line="182" w:lineRule="auto"/>
              <w:ind w:left="62"/>
              <w:jc w:val="center"/>
              <w:rPr>
                <w:u w:val="none" w:color="auto"/>
              </w:rPr>
            </w:pPr>
            <w:r>
              <w:rPr>
                <w:spacing w:val="-3"/>
                <w:u w:val="none" w:color="auto"/>
              </w:rPr>
              <w:t>25000</w:t>
            </w:r>
          </w:p>
        </w:tc>
        <w:tc>
          <w:tcPr>
            <w:tcW w:w="990" w:type="dxa"/>
            <w:vMerge w:val="continue"/>
            <w:tcBorders>
              <w:top w:val="nil"/>
              <w:bottom w:val="single" w:color="000000" w:sz="8" w:space="0"/>
              <w:right w:val="single" w:color="000000" w:sz="8" w:space="0"/>
            </w:tcBorders>
            <w:vAlign w:val="center"/>
          </w:tcPr>
          <w:p>
            <w:pPr>
              <w:jc w:val="center"/>
              <w:rPr>
                <w:rFonts w:ascii="Arial"/>
                <w:sz w:val="21"/>
                <w:u w:val="none" w:color="auto"/>
              </w:rPr>
            </w:pPr>
          </w:p>
        </w:tc>
        <w:tc>
          <w:tcPr>
            <w:tcW w:w="1227" w:type="dxa"/>
            <w:vMerge w:val="continue"/>
            <w:tcBorders>
              <w:top w:val="nil"/>
              <w:left w:val="single" w:color="000000" w:sz="8" w:space="0"/>
              <w:bottom w:val="nil"/>
              <w:right w:val="single" w:color="000000" w:sz="8" w:space="0"/>
            </w:tcBorders>
            <w:vAlign w:val="top"/>
          </w:tcPr>
          <w:p>
            <w:pPr>
              <w:rPr>
                <w:rFonts w:ascii="Arial"/>
                <w:sz w:val="21"/>
                <w:u w:val="none" w:color="auto"/>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1" w:hRule="atLeast"/>
          <w:jc w:val="center"/>
        </w:trPr>
        <w:tc>
          <w:tcPr>
            <w:tcW w:w="1733" w:type="dxa"/>
            <w:gridSpan w:val="3"/>
            <w:tcBorders>
              <w:top w:val="single" w:color="000000" w:sz="8" w:space="0"/>
              <w:bottom w:val="single" w:color="000000" w:sz="8" w:space="0"/>
            </w:tcBorders>
            <w:vAlign w:val="center"/>
          </w:tcPr>
          <w:p>
            <w:pPr>
              <w:pStyle w:val="20"/>
              <w:spacing w:before="147" w:line="218" w:lineRule="auto"/>
              <w:ind w:left="39"/>
              <w:jc w:val="center"/>
              <w:rPr>
                <w:u w:val="none" w:color="auto"/>
              </w:rPr>
            </w:pPr>
            <w:r>
              <w:rPr>
                <w:spacing w:val="-1"/>
                <w:u w:val="none" w:color="auto"/>
              </w:rPr>
              <w:t>摄像机</w:t>
            </w:r>
          </w:p>
        </w:tc>
        <w:tc>
          <w:tcPr>
            <w:tcW w:w="5242" w:type="dxa"/>
            <w:tcBorders>
              <w:top w:val="single" w:color="000000" w:sz="8" w:space="0"/>
              <w:bottom w:val="single" w:color="000000" w:sz="8" w:space="0"/>
              <w:right w:val="single" w:color="000000" w:sz="8" w:space="0"/>
            </w:tcBorders>
            <w:vAlign w:val="top"/>
          </w:tcPr>
          <w:p>
            <w:pPr>
              <w:pStyle w:val="20"/>
              <w:spacing w:before="147" w:line="216" w:lineRule="auto"/>
              <w:ind w:left="25"/>
              <w:rPr>
                <w:u w:val="none" w:color="auto"/>
              </w:rPr>
            </w:pPr>
            <w:r>
              <w:rPr>
                <w:u w:val="none" w:color="auto"/>
              </w:rPr>
              <w:t>每个单位根据工作需要，可配置1台</w:t>
            </w:r>
            <w:r>
              <w:rPr>
                <w:rFonts w:hint="eastAsia"/>
                <w:u w:val="none" w:color="auto"/>
                <w:lang w:eastAsia="zh-CN"/>
              </w:rPr>
              <w:t>。</w:t>
            </w:r>
          </w:p>
        </w:tc>
        <w:tc>
          <w:tcPr>
            <w:tcW w:w="1107" w:type="dxa"/>
            <w:tcBorders>
              <w:top w:val="single" w:color="000000" w:sz="8" w:space="0"/>
              <w:left w:val="single" w:color="000000" w:sz="8" w:space="0"/>
              <w:bottom w:val="single" w:color="000000" w:sz="8" w:space="0"/>
            </w:tcBorders>
            <w:vAlign w:val="center"/>
          </w:tcPr>
          <w:p>
            <w:pPr>
              <w:pStyle w:val="20"/>
              <w:spacing w:before="174" w:line="182" w:lineRule="auto"/>
              <w:ind w:left="64"/>
              <w:jc w:val="center"/>
              <w:rPr>
                <w:u w:val="none" w:color="auto"/>
              </w:rPr>
            </w:pPr>
            <w:r>
              <w:rPr>
                <w:spacing w:val="-3"/>
                <w:u w:val="none" w:color="auto"/>
              </w:rPr>
              <w:t>6000</w:t>
            </w:r>
          </w:p>
        </w:tc>
        <w:tc>
          <w:tcPr>
            <w:tcW w:w="990" w:type="dxa"/>
            <w:tcBorders>
              <w:top w:val="single" w:color="000000" w:sz="8" w:space="0"/>
              <w:bottom w:val="single" w:color="000000" w:sz="8" w:space="0"/>
              <w:right w:val="single" w:color="000000" w:sz="8" w:space="0"/>
            </w:tcBorders>
            <w:vAlign w:val="center"/>
          </w:tcPr>
          <w:p>
            <w:pPr>
              <w:pStyle w:val="20"/>
              <w:spacing w:before="174" w:line="182" w:lineRule="auto"/>
              <w:ind w:left="58"/>
              <w:jc w:val="center"/>
              <w:rPr>
                <w:u w:val="none" w:color="auto"/>
              </w:rPr>
            </w:pPr>
            <w:r>
              <w:rPr>
                <w:u w:val="none" w:color="auto"/>
              </w:rPr>
              <w:t>8</w:t>
            </w:r>
          </w:p>
        </w:tc>
        <w:tc>
          <w:tcPr>
            <w:tcW w:w="1227" w:type="dxa"/>
            <w:vMerge w:val="continue"/>
            <w:tcBorders>
              <w:top w:val="nil"/>
              <w:left w:val="single" w:color="000000" w:sz="8" w:space="0"/>
              <w:bottom w:val="nil"/>
              <w:right w:val="single" w:color="000000" w:sz="8" w:space="0"/>
            </w:tcBorders>
            <w:vAlign w:val="top"/>
          </w:tcPr>
          <w:p>
            <w:pPr>
              <w:rPr>
                <w:rFonts w:ascii="Arial"/>
                <w:sz w:val="21"/>
                <w:u w:val="none" w:color="auto"/>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6" w:hRule="atLeast"/>
          <w:jc w:val="center"/>
        </w:trPr>
        <w:tc>
          <w:tcPr>
            <w:tcW w:w="480" w:type="dxa"/>
            <w:vMerge w:val="restart"/>
            <w:tcBorders>
              <w:top w:val="single" w:color="000000" w:sz="8" w:space="0"/>
              <w:bottom w:val="nil"/>
            </w:tcBorders>
            <w:vAlign w:val="center"/>
          </w:tcPr>
          <w:p>
            <w:pPr>
              <w:spacing w:line="310" w:lineRule="auto"/>
              <w:jc w:val="center"/>
              <w:rPr>
                <w:rFonts w:ascii="Arial"/>
                <w:sz w:val="21"/>
                <w:u w:val="none" w:color="auto"/>
              </w:rPr>
            </w:pPr>
          </w:p>
          <w:p>
            <w:pPr>
              <w:pStyle w:val="20"/>
              <w:spacing w:before="68" w:line="226" w:lineRule="auto"/>
              <w:ind w:left="56"/>
              <w:jc w:val="center"/>
              <w:rPr>
                <w:u w:val="none" w:color="auto"/>
              </w:rPr>
            </w:pPr>
            <w:r>
              <w:rPr>
                <w:u w:val="none" w:color="auto"/>
              </w:rPr>
              <w:t>空</w:t>
            </w:r>
          </w:p>
          <w:p>
            <w:pPr>
              <w:pStyle w:val="20"/>
              <w:spacing w:line="219" w:lineRule="auto"/>
              <w:ind w:left="41"/>
              <w:jc w:val="center"/>
              <w:rPr>
                <w:u w:val="none" w:color="auto"/>
              </w:rPr>
            </w:pPr>
            <w:r>
              <w:rPr>
                <w:u w:val="none" w:color="auto"/>
              </w:rPr>
              <w:t>调</w:t>
            </w:r>
          </w:p>
        </w:tc>
        <w:tc>
          <w:tcPr>
            <w:tcW w:w="1253" w:type="dxa"/>
            <w:gridSpan w:val="2"/>
            <w:tcBorders>
              <w:top w:val="single" w:color="000000" w:sz="8" w:space="0"/>
            </w:tcBorders>
            <w:vAlign w:val="center"/>
          </w:tcPr>
          <w:p>
            <w:pPr>
              <w:pStyle w:val="20"/>
              <w:spacing w:before="112" w:line="209" w:lineRule="auto"/>
              <w:ind w:left="71"/>
              <w:jc w:val="center"/>
              <w:rPr>
                <w:u w:val="none" w:color="auto"/>
              </w:rPr>
            </w:pPr>
            <w:r>
              <w:rPr>
                <w:spacing w:val="-6"/>
                <w:u w:val="none" w:color="auto"/>
              </w:rPr>
              <w:t>中央空调</w:t>
            </w:r>
          </w:p>
        </w:tc>
        <w:tc>
          <w:tcPr>
            <w:tcW w:w="5242" w:type="dxa"/>
            <w:tcBorders>
              <w:top w:val="single" w:color="000000" w:sz="8" w:space="0"/>
              <w:right w:val="single" w:color="000000" w:sz="8" w:space="0"/>
            </w:tcBorders>
            <w:vAlign w:val="top"/>
          </w:tcPr>
          <w:p>
            <w:pPr>
              <w:pStyle w:val="20"/>
              <w:spacing w:before="112" w:line="209" w:lineRule="auto"/>
              <w:ind w:left="22"/>
              <w:rPr>
                <w:u w:val="none" w:color="auto"/>
              </w:rPr>
            </w:pPr>
            <w:r>
              <w:rPr>
                <w:u w:val="none" w:color="auto"/>
              </w:rPr>
              <w:t>根据工作需要合理配置</w:t>
            </w:r>
            <w:r>
              <w:rPr>
                <w:rFonts w:hint="eastAsia"/>
                <w:u w:val="none" w:color="auto"/>
                <w:lang w:eastAsia="zh-CN"/>
              </w:rPr>
              <w:t>。</w:t>
            </w:r>
          </w:p>
        </w:tc>
        <w:tc>
          <w:tcPr>
            <w:tcW w:w="1107" w:type="dxa"/>
            <w:tcBorders>
              <w:top w:val="single" w:color="000000" w:sz="8" w:space="0"/>
              <w:left w:val="single" w:color="000000" w:sz="8" w:space="0"/>
            </w:tcBorders>
            <w:vAlign w:val="center"/>
          </w:tcPr>
          <w:p>
            <w:pPr>
              <w:pStyle w:val="20"/>
              <w:spacing w:before="112" w:line="209" w:lineRule="auto"/>
              <w:ind w:left="67"/>
              <w:jc w:val="center"/>
              <w:rPr>
                <w:u w:val="none" w:color="auto"/>
              </w:rPr>
            </w:pPr>
            <w:r>
              <w:rPr>
                <w:spacing w:val="-3"/>
                <w:u w:val="none" w:color="auto"/>
              </w:rPr>
              <w:t>1</w:t>
            </w:r>
            <w:r>
              <w:rPr>
                <w:spacing w:val="-3"/>
                <w:u w:val="none" w:color="auto"/>
              </w:rPr>
              <w:t>0000/冷吨</w:t>
            </w:r>
          </w:p>
        </w:tc>
        <w:tc>
          <w:tcPr>
            <w:tcW w:w="990" w:type="dxa"/>
            <w:vMerge w:val="restart"/>
            <w:tcBorders>
              <w:top w:val="single" w:color="000000" w:sz="8" w:space="0"/>
              <w:bottom w:val="nil"/>
              <w:right w:val="single" w:color="000000" w:sz="8" w:space="0"/>
            </w:tcBorders>
            <w:vAlign w:val="center"/>
          </w:tcPr>
          <w:p>
            <w:pPr>
              <w:jc w:val="center"/>
              <w:rPr>
                <w:rFonts w:ascii="Arial"/>
                <w:sz w:val="21"/>
                <w:u w:val="none" w:color="auto"/>
              </w:rPr>
            </w:pPr>
          </w:p>
        </w:tc>
        <w:tc>
          <w:tcPr>
            <w:tcW w:w="1227" w:type="dxa"/>
            <w:vMerge w:val="continue"/>
            <w:tcBorders>
              <w:top w:val="nil"/>
              <w:left w:val="single" w:color="000000" w:sz="8" w:space="0"/>
              <w:bottom w:val="nil"/>
              <w:right w:val="single" w:color="000000" w:sz="8" w:space="0"/>
            </w:tcBorders>
            <w:vAlign w:val="top"/>
          </w:tcPr>
          <w:p>
            <w:pPr>
              <w:rPr>
                <w:rFonts w:ascii="Arial"/>
                <w:sz w:val="21"/>
                <w:u w:val="none" w:color="auto"/>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7" w:hRule="atLeast"/>
          <w:jc w:val="center"/>
        </w:trPr>
        <w:tc>
          <w:tcPr>
            <w:tcW w:w="480" w:type="dxa"/>
            <w:vMerge w:val="continue"/>
            <w:tcBorders>
              <w:top w:val="nil"/>
              <w:bottom w:val="nil"/>
            </w:tcBorders>
            <w:vAlign w:val="center"/>
          </w:tcPr>
          <w:p>
            <w:pPr>
              <w:jc w:val="center"/>
              <w:rPr>
                <w:rFonts w:ascii="Arial"/>
                <w:sz w:val="21"/>
                <w:u w:val="none" w:color="auto"/>
              </w:rPr>
            </w:pPr>
          </w:p>
        </w:tc>
        <w:tc>
          <w:tcPr>
            <w:tcW w:w="1253" w:type="dxa"/>
            <w:gridSpan w:val="2"/>
            <w:vAlign w:val="center"/>
          </w:tcPr>
          <w:p>
            <w:pPr>
              <w:pStyle w:val="20"/>
              <w:spacing w:before="143" w:line="218" w:lineRule="auto"/>
              <w:ind w:left="47"/>
              <w:jc w:val="center"/>
              <w:rPr>
                <w:u w:val="none" w:color="auto"/>
              </w:rPr>
            </w:pPr>
            <w:r>
              <w:rPr>
                <w:spacing w:val="-2"/>
                <w:u w:val="none" w:color="auto"/>
              </w:rPr>
              <w:t>挂机</w:t>
            </w:r>
          </w:p>
        </w:tc>
        <w:tc>
          <w:tcPr>
            <w:tcW w:w="5242" w:type="dxa"/>
            <w:vMerge w:val="restart"/>
            <w:tcBorders>
              <w:bottom w:val="nil"/>
              <w:right w:val="single" w:color="000000" w:sz="8" w:space="0"/>
            </w:tcBorders>
            <w:vAlign w:val="top"/>
          </w:tcPr>
          <w:p>
            <w:pPr>
              <w:pStyle w:val="20"/>
              <w:spacing w:before="185" w:line="223" w:lineRule="auto"/>
              <w:ind w:left="34" w:right="178" w:hanging="9"/>
              <w:rPr>
                <w:u w:val="none" w:color="auto"/>
              </w:rPr>
            </w:pPr>
            <w:r>
              <w:rPr>
                <w:u w:val="none" w:color="auto"/>
              </w:rPr>
              <w:t>每个办公室空调不超过1台，会议室空调应与面积</w:t>
            </w:r>
            <w:r>
              <w:rPr>
                <w:spacing w:val="-3"/>
                <w:u w:val="none" w:color="auto"/>
              </w:rPr>
              <w:t>大小匹配</w:t>
            </w:r>
            <w:r>
              <w:rPr>
                <w:rFonts w:hint="eastAsia"/>
                <w:u w:val="none" w:color="auto"/>
                <w:lang w:eastAsia="zh-CN"/>
              </w:rPr>
              <w:t>。</w:t>
            </w:r>
          </w:p>
        </w:tc>
        <w:tc>
          <w:tcPr>
            <w:tcW w:w="1107" w:type="dxa"/>
            <w:tcBorders>
              <w:left w:val="single" w:color="000000" w:sz="8" w:space="0"/>
            </w:tcBorders>
            <w:vAlign w:val="center"/>
          </w:tcPr>
          <w:p>
            <w:pPr>
              <w:pStyle w:val="20"/>
              <w:spacing w:before="169" w:line="182" w:lineRule="auto"/>
              <w:ind w:left="65"/>
              <w:jc w:val="center"/>
              <w:rPr>
                <w:u w:val="none" w:color="auto"/>
              </w:rPr>
            </w:pPr>
            <w:r>
              <w:rPr>
                <w:spacing w:val="-4"/>
                <w:u w:val="none" w:color="auto"/>
              </w:rPr>
              <w:t>5000</w:t>
            </w:r>
          </w:p>
        </w:tc>
        <w:tc>
          <w:tcPr>
            <w:tcW w:w="990" w:type="dxa"/>
            <w:vMerge w:val="continue"/>
            <w:tcBorders>
              <w:top w:val="nil"/>
              <w:bottom w:val="nil"/>
              <w:right w:val="single" w:color="000000" w:sz="8" w:space="0"/>
            </w:tcBorders>
            <w:vAlign w:val="top"/>
          </w:tcPr>
          <w:p>
            <w:pPr>
              <w:rPr>
                <w:rFonts w:ascii="Arial"/>
                <w:sz w:val="21"/>
                <w:u w:val="none" w:color="auto"/>
              </w:rPr>
            </w:pPr>
          </w:p>
        </w:tc>
        <w:tc>
          <w:tcPr>
            <w:tcW w:w="1227" w:type="dxa"/>
            <w:vMerge w:val="continue"/>
            <w:tcBorders>
              <w:top w:val="nil"/>
              <w:left w:val="single" w:color="000000" w:sz="8" w:space="0"/>
              <w:bottom w:val="nil"/>
              <w:right w:val="single" w:color="000000" w:sz="8" w:space="0"/>
            </w:tcBorders>
            <w:vAlign w:val="top"/>
          </w:tcPr>
          <w:p>
            <w:pPr>
              <w:rPr>
                <w:rFonts w:ascii="Arial"/>
                <w:sz w:val="21"/>
                <w:u w:val="none" w:color="auto"/>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6" w:hRule="atLeast"/>
          <w:jc w:val="center"/>
        </w:trPr>
        <w:tc>
          <w:tcPr>
            <w:tcW w:w="480" w:type="dxa"/>
            <w:vMerge w:val="continue"/>
            <w:tcBorders>
              <w:top w:val="nil"/>
              <w:bottom w:val="single" w:color="000000" w:sz="8" w:space="0"/>
            </w:tcBorders>
            <w:vAlign w:val="center"/>
          </w:tcPr>
          <w:p>
            <w:pPr>
              <w:jc w:val="center"/>
              <w:rPr>
                <w:rFonts w:ascii="Arial"/>
                <w:sz w:val="21"/>
                <w:u w:val="none" w:color="auto"/>
              </w:rPr>
            </w:pPr>
          </w:p>
        </w:tc>
        <w:tc>
          <w:tcPr>
            <w:tcW w:w="1253" w:type="dxa"/>
            <w:gridSpan w:val="2"/>
            <w:tcBorders>
              <w:bottom w:val="single" w:color="000000" w:sz="8" w:space="0"/>
            </w:tcBorders>
            <w:vAlign w:val="center"/>
          </w:tcPr>
          <w:p>
            <w:pPr>
              <w:pStyle w:val="20"/>
              <w:spacing w:before="109" w:line="208" w:lineRule="auto"/>
              <w:ind w:left="48"/>
              <w:jc w:val="center"/>
              <w:rPr>
                <w:u w:val="none" w:color="auto"/>
              </w:rPr>
            </w:pPr>
            <w:r>
              <w:rPr>
                <w:spacing w:val="-2"/>
                <w:u w:val="none" w:color="auto"/>
              </w:rPr>
              <w:t>柜机</w:t>
            </w:r>
          </w:p>
        </w:tc>
        <w:tc>
          <w:tcPr>
            <w:tcW w:w="5242" w:type="dxa"/>
            <w:vMerge w:val="continue"/>
            <w:tcBorders>
              <w:top w:val="nil"/>
              <w:bottom w:val="single" w:color="000000" w:sz="8" w:space="0"/>
              <w:right w:val="single" w:color="000000" w:sz="8" w:space="0"/>
            </w:tcBorders>
            <w:vAlign w:val="top"/>
          </w:tcPr>
          <w:p>
            <w:pPr>
              <w:rPr>
                <w:rFonts w:ascii="Arial"/>
                <w:sz w:val="21"/>
                <w:u w:val="none" w:color="auto"/>
              </w:rPr>
            </w:pPr>
          </w:p>
        </w:tc>
        <w:tc>
          <w:tcPr>
            <w:tcW w:w="1107" w:type="dxa"/>
            <w:tcBorders>
              <w:left w:val="single" w:color="000000" w:sz="8" w:space="0"/>
              <w:bottom w:val="single" w:color="000000" w:sz="8" w:space="0"/>
            </w:tcBorders>
            <w:vAlign w:val="center"/>
          </w:tcPr>
          <w:p>
            <w:pPr>
              <w:pStyle w:val="20"/>
              <w:spacing w:before="136" w:line="182" w:lineRule="auto"/>
              <w:ind w:left="67"/>
              <w:jc w:val="center"/>
              <w:rPr>
                <w:u w:val="none" w:color="auto"/>
              </w:rPr>
            </w:pPr>
            <w:r>
              <w:rPr>
                <w:spacing w:val="-3"/>
                <w:u w:val="none" w:color="auto"/>
              </w:rPr>
              <w:t>10000</w:t>
            </w:r>
          </w:p>
        </w:tc>
        <w:tc>
          <w:tcPr>
            <w:tcW w:w="990" w:type="dxa"/>
            <w:vMerge w:val="continue"/>
            <w:tcBorders>
              <w:top w:val="nil"/>
              <w:bottom w:val="single" w:color="000000" w:sz="8" w:space="0"/>
              <w:right w:val="single" w:color="000000" w:sz="8" w:space="0"/>
            </w:tcBorders>
            <w:vAlign w:val="top"/>
          </w:tcPr>
          <w:p>
            <w:pPr>
              <w:rPr>
                <w:rFonts w:ascii="Arial"/>
                <w:sz w:val="21"/>
                <w:u w:val="none" w:color="auto"/>
              </w:rPr>
            </w:pPr>
          </w:p>
        </w:tc>
        <w:tc>
          <w:tcPr>
            <w:tcW w:w="1227" w:type="dxa"/>
            <w:vMerge w:val="continue"/>
            <w:tcBorders>
              <w:top w:val="nil"/>
              <w:left w:val="single" w:color="000000" w:sz="8" w:space="0"/>
              <w:bottom w:val="single" w:color="000000" w:sz="8" w:space="0"/>
              <w:right w:val="single" w:color="000000" w:sz="8" w:space="0"/>
            </w:tcBorders>
            <w:vAlign w:val="top"/>
          </w:tcPr>
          <w:p>
            <w:pPr>
              <w:rPr>
                <w:rFonts w:ascii="Arial"/>
                <w:sz w:val="21"/>
                <w:u w:val="none" w:color="auto"/>
              </w:rPr>
            </w:pPr>
          </w:p>
        </w:tc>
      </w:tr>
    </w:tbl>
    <w:p>
      <w:pPr>
        <w:spacing w:before="92" w:line="217" w:lineRule="auto"/>
        <w:ind w:left="61"/>
        <w:rPr>
          <w:rFonts w:ascii="仿宋" w:hAnsi="仿宋" w:eastAsia="仿宋" w:cs="仿宋"/>
          <w:sz w:val="21"/>
          <w:szCs w:val="21"/>
          <w:u w:val="none" w:color="auto"/>
        </w:rPr>
      </w:pPr>
      <w:r>
        <w:rPr>
          <w:rFonts w:ascii="仿宋" w:hAnsi="仿宋" w:eastAsia="仿宋" w:cs="仿宋"/>
          <w:sz w:val="21"/>
          <w:szCs w:val="21"/>
          <w:u w:val="none" w:color="auto"/>
        </w:rPr>
        <w:t>注：价格上限中的价格指单台设备的价格。</w:t>
      </w:r>
    </w:p>
    <w:p>
      <w:pPr>
        <w:spacing w:before="322" w:line="184" w:lineRule="auto"/>
        <w:rPr>
          <w:rFonts w:ascii="宋体" w:hAnsi="宋体" w:eastAsia="宋体" w:cs="宋体"/>
          <w:sz w:val="28"/>
          <w:szCs w:val="28"/>
          <w:u w:val="none" w:color="auto"/>
        </w:rPr>
        <w:sectPr>
          <w:footerReference r:id="rId3" w:type="default"/>
          <w:pgSz w:w="11915" w:h="16851"/>
          <w:pgMar w:top="1440" w:right="1803" w:bottom="1440" w:left="1803" w:header="1134" w:footer="1134" w:gutter="0"/>
          <w:pgNumType w:fmt="numberInDash"/>
          <w:cols w:space="0" w:num="1"/>
          <w:rtlGutter w:val="0"/>
          <w:docGrid w:linePitch="0" w:charSpace="0"/>
        </w:sectPr>
      </w:pPr>
    </w:p>
    <w:p>
      <w:pPr>
        <w:widowControl/>
        <w:jc w:val="left"/>
        <w:outlineLvl w:val="0"/>
        <w:rPr>
          <w:rFonts w:hint="default" w:ascii="黑体" w:hAnsi="黑体" w:eastAsia="黑体" w:cs="黑体"/>
          <w:sz w:val="44"/>
          <w:szCs w:val="44"/>
          <w:u w:val="none" w:color="auto"/>
          <w:lang w:eastAsia="zh-CN"/>
        </w:rPr>
      </w:pPr>
      <w:r>
        <w:rPr>
          <w:rFonts w:hint="eastAsia" w:ascii="黑体" w:hAnsi="黑体" w:eastAsia="黑体" w:cs="黑体"/>
          <w:spacing w:val="-9"/>
          <w:sz w:val="32"/>
          <w:szCs w:val="32"/>
          <w:u w:val="none" w:color="auto"/>
        </w:rPr>
        <w:t>附件</w:t>
      </w:r>
      <w:r>
        <w:rPr>
          <w:rFonts w:hint="eastAsia" w:ascii="黑体" w:hAnsi="黑体" w:eastAsia="黑体" w:cs="黑体"/>
          <w:spacing w:val="-8"/>
          <w:sz w:val="32"/>
          <w:szCs w:val="32"/>
          <w:u w:val="none" w:color="auto"/>
          <w:lang w:val="en-US" w:eastAsia="zh-CN"/>
        </w:rPr>
        <w:t>2:</w:t>
      </w:r>
    </w:p>
    <w:p>
      <w:pPr>
        <w:spacing w:before="218" w:line="223" w:lineRule="auto"/>
        <w:ind w:left="1127"/>
        <w:rPr>
          <w:rFonts w:ascii="黑体" w:hAnsi="黑体" w:eastAsia="黑体" w:cs="黑体"/>
          <w:sz w:val="31"/>
          <w:szCs w:val="31"/>
          <w:u w:val="none" w:color="auto"/>
        </w:rPr>
      </w:pPr>
      <w:r>
        <w:rPr>
          <w:rFonts w:ascii="黑体" w:hAnsi="黑体" w:eastAsia="黑体" w:cs="黑体"/>
          <w:spacing w:val="10"/>
          <w:sz w:val="31"/>
          <w:szCs w:val="31"/>
          <w:u w:val="none" w:color="auto"/>
        </w:rPr>
        <w:t>江西省省级行政事业单位通用办公家具配置标准表</w:t>
      </w:r>
    </w:p>
    <w:p>
      <w:pPr>
        <w:spacing w:before="144"/>
        <w:rPr>
          <w:u w:val="none" w:color="auto"/>
        </w:rPr>
      </w:pPr>
    </w:p>
    <w:tbl>
      <w:tblPr>
        <w:tblStyle w:val="16"/>
        <w:tblW w:w="9260"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01"/>
        <w:gridCol w:w="786"/>
        <w:gridCol w:w="3870"/>
        <w:gridCol w:w="1804"/>
        <w:gridCol w:w="880"/>
        <w:gridCol w:w="91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16" w:hRule="atLeast"/>
        </w:trPr>
        <w:tc>
          <w:tcPr>
            <w:tcW w:w="1787" w:type="dxa"/>
            <w:gridSpan w:val="2"/>
            <w:tcBorders>
              <w:top w:val="single" w:color="000000" w:sz="8" w:space="0"/>
            </w:tcBorders>
            <w:vAlign w:val="top"/>
          </w:tcPr>
          <w:p>
            <w:pPr>
              <w:spacing w:line="385" w:lineRule="auto"/>
              <w:rPr>
                <w:rFonts w:ascii="Arial"/>
                <w:sz w:val="21"/>
                <w:u w:val="none" w:color="auto"/>
              </w:rPr>
            </w:pPr>
          </w:p>
          <w:p>
            <w:pPr>
              <w:spacing w:before="78" w:line="219" w:lineRule="auto"/>
              <w:ind w:left="411"/>
              <w:rPr>
                <w:rFonts w:ascii="宋体" w:hAnsi="宋体" w:eastAsia="宋体" w:cs="宋体"/>
                <w:sz w:val="24"/>
                <w:szCs w:val="24"/>
                <w:u w:val="none" w:color="auto"/>
              </w:rPr>
            </w:pPr>
            <w:r>
              <w:rPr>
                <w:rFonts w:ascii="宋体" w:hAnsi="宋体" w:eastAsia="宋体" w:cs="宋体"/>
                <w:spacing w:val="-3"/>
                <w:sz w:val="24"/>
                <w:szCs w:val="24"/>
                <w:u w:val="none" w:color="auto"/>
                <w14:textOutline w14:w="1524" w14:cap="flat" w14:cmpd="sng">
                  <w14:solidFill>
                    <w14:srgbClr w14:val="000000"/>
                  </w14:solidFill>
                  <w14:prstDash w14:val="solid"/>
                  <w14:miter w14:val="0"/>
                </w14:textOutline>
              </w:rPr>
              <w:t>资产品目</w:t>
            </w:r>
          </w:p>
        </w:tc>
        <w:tc>
          <w:tcPr>
            <w:tcW w:w="3870" w:type="dxa"/>
            <w:tcBorders>
              <w:top w:val="single" w:color="000000" w:sz="8" w:space="0"/>
            </w:tcBorders>
            <w:vAlign w:val="top"/>
          </w:tcPr>
          <w:p>
            <w:pPr>
              <w:spacing w:line="385" w:lineRule="auto"/>
              <w:rPr>
                <w:rFonts w:ascii="Arial"/>
                <w:sz w:val="21"/>
                <w:u w:val="none" w:color="auto"/>
              </w:rPr>
            </w:pPr>
          </w:p>
          <w:p>
            <w:pPr>
              <w:spacing w:before="78" w:line="219" w:lineRule="auto"/>
              <w:ind w:left="597"/>
              <w:rPr>
                <w:rFonts w:ascii="宋体" w:hAnsi="宋体" w:eastAsia="宋体" w:cs="宋体"/>
                <w:sz w:val="24"/>
                <w:szCs w:val="24"/>
                <w:u w:val="none" w:color="auto"/>
              </w:rPr>
            </w:pPr>
            <w:r>
              <w:rPr>
                <w:rFonts w:ascii="宋体" w:hAnsi="宋体" w:eastAsia="宋体" w:cs="宋体"/>
                <w:spacing w:val="1"/>
                <w:sz w:val="24"/>
                <w:szCs w:val="24"/>
                <w:u w:val="none" w:color="auto"/>
                <w14:textOutline w14:w="1524" w14:cap="flat" w14:cmpd="sng">
                  <w14:solidFill>
                    <w14:srgbClr w14:val="000000"/>
                  </w14:solidFill>
                  <w14:prstDash w14:val="solid"/>
                  <w14:miter w14:val="0"/>
                </w14:textOutline>
              </w:rPr>
              <w:t>数量上限（套、件、组）</w:t>
            </w:r>
          </w:p>
        </w:tc>
        <w:tc>
          <w:tcPr>
            <w:tcW w:w="1804" w:type="dxa"/>
            <w:tcBorders>
              <w:top w:val="single" w:color="000000" w:sz="8" w:space="0"/>
            </w:tcBorders>
            <w:vAlign w:val="top"/>
          </w:tcPr>
          <w:p>
            <w:pPr>
              <w:spacing w:line="386" w:lineRule="auto"/>
              <w:rPr>
                <w:rFonts w:ascii="Arial"/>
                <w:sz w:val="21"/>
                <w:u w:val="none" w:color="auto"/>
              </w:rPr>
            </w:pPr>
          </w:p>
          <w:p>
            <w:pPr>
              <w:spacing w:before="78" w:line="217" w:lineRule="auto"/>
              <w:ind w:left="71"/>
              <w:rPr>
                <w:rFonts w:ascii="宋体" w:hAnsi="宋体" w:eastAsia="宋体" w:cs="宋体"/>
                <w:sz w:val="24"/>
                <w:szCs w:val="24"/>
                <w:u w:val="none" w:color="auto"/>
              </w:rPr>
            </w:pPr>
            <w:r>
              <w:rPr>
                <w:rFonts w:ascii="宋体" w:hAnsi="宋体" w:eastAsia="宋体" w:cs="宋体"/>
                <w:spacing w:val="-2"/>
                <w:sz w:val="24"/>
                <w:szCs w:val="24"/>
                <w:u w:val="none" w:color="auto"/>
                <w14:textOutline w14:w="1524" w14:cap="flat" w14:cmpd="sng">
                  <w14:solidFill>
                    <w14:srgbClr w14:val="000000"/>
                  </w14:solidFill>
                  <w14:prstDash w14:val="solid"/>
                  <w14:miter w14:val="0"/>
                </w14:textOutline>
              </w:rPr>
              <w:t>价格上限（元）</w:t>
            </w:r>
          </w:p>
        </w:tc>
        <w:tc>
          <w:tcPr>
            <w:tcW w:w="880" w:type="dxa"/>
            <w:tcBorders>
              <w:top w:val="single" w:color="000000" w:sz="8" w:space="0"/>
              <w:right w:val="single" w:color="000000" w:sz="8" w:space="0"/>
            </w:tcBorders>
            <w:vAlign w:val="top"/>
          </w:tcPr>
          <w:p>
            <w:pPr>
              <w:spacing w:before="179" w:line="219" w:lineRule="auto"/>
              <w:ind w:left="98" w:right="48"/>
              <w:jc w:val="both"/>
              <w:rPr>
                <w:rFonts w:ascii="宋体" w:hAnsi="宋体" w:eastAsia="宋体" w:cs="宋体"/>
                <w:sz w:val="24"/>
                <w:szCs w:val="24"/>
                <w:u w:val="none" w:color="auto"/>
              </w:rPr>
            </w:pPr>
            <w:r>
              <w:rPr>
                <w:rFonts w:ascii="宋体" w:hAnsi="宋体" w:eastAsia="宋体" w:cs="宋体"/>
                <w:spacing w:val="-2"/>
                <w:sz w:val="24"/>
                <w:szCs w:val="24"/>
                <w:u w:val="none" w:color="auto"/>
                <w14:textOutline w14:w="1524" w14:cap="flat" w14:cmpd="sng">
                  <w14:solidFill>
                    <w14:srgbClr w14:val="000000"/>
                  </w14:solidFill>
                  <w14:prstDash w14:val="solid"/>
                  <w14:miter w14:val="0"/>
                </w14:textOutline>
              </w:rPr>
              <w:t>最低使</w:t>
            </w:r>
            <w:r>
              <w:rPr>
                <w:rFonts w:ascii="宋体" w:hAnsi="宋体" w:eastAsia="宋体" w:cs="宋体"/>
                <w:sz w:val="24"/>
                <w:szCs w:val="24"/>
                <w:u w:val="none" w:color="auto"/>
              </w:rPr>
              <w:t xml:space="preserve"> </w:t>
            </w:r>
            <w:r>
              <w:rPr>
                <w:rFonts w:ascii="宋体" w:hAnsi="宋体" w:eastAsia="宋体" w:cs="宋体"/>
                <w:spacing w:val="-2"/>
                <w:sz w:val="24"/>
                <w:szCs w:val="24"/>
                <w:u w:val="none" w:color="auto"/>
                <w14:textOutline w14:w="1524" w14:cap="flat" w14:cmpd="sng">
                  <w14:solidFill>
                    <w14:srgbClr w14:val="000000"/>
                  </w14:solidFill>
                  <w14:prstDash w14:val="solid"/>
                  <w14:miter w14:val="0"/>
                </w14:textOutline>
              </w:rPr>
              <w:t>用年限</w:t>
            </w:r>
            <w:r>
              <w:rPr>
                <w:rFonts w:ascii="宋体" w:hAnsi="宋体" w:eastAsia="宋体" w:cs="宋体"/>
                <w:sz w:val="24"/>
                <w:szCs w:val="24"/>
                <w:u w:val="none" w:color="auto"/>
              </w:rPr>
              <w:t xml:space="preserve"> </w:t>
            </w:r>
            <w:r>
              <w:rPr>
                <w:rFonts w:ascii="宋体" w:hAnsi="宋体" w:eastAsia="宋体" w:cs="宋体"/>
                <w:spacing w:val="-4"/>
                <w:sz w:val="24"/>
                <w:szCs w:val="24"/>
                <w:u w:val="none" w:color="auto"/>
                <w14:textOutline w14:w="1524" w14:cap="flat" w14:cmpd="sng">
                  <w14:solidFill>
                    <w14:srgbClr w14:val="000000"/>
                  </w14:solidFill>
                  <w14:prstDash w14:val="solid"/>
                  <w14:miter w14:val="0"/>
                </w14:textOutline>
              </w:rPr>
              <w:t>（年）</w:t>
            </w:r>
          </w:p>
        </w:tc>
        <w:tc>
          <w:tcPr>
            <w:tcW w:w="919" w:type="dxa"/>
            <w:tcBorders>
              <w:top w:val="single" w:color="000000" w:sz="8" w:space="0"/>
              <w:left w:val="single" w:color="000000" w:sz="8" w:space="0"/>
            </w:tcBorders>
            <w:vAlign w:val="top"/>
          </w:tcPr>
          <w:p>
            <w:pPr>
              <w:spacing w:before="316" w:line="225" w:lineRule="auto"/>
              <w:ind w:left="339" w:right="87" w:hanging="240"/>
              <w:rPr>
                <w:rFonts w:ascii="宋体" w:hAnsi="宋体" w:eastAsia="宋体" w:cs="宋体"/>
                <w:sz w:val="24"/>
                <w:szCs w:val="24"/>
                <w:u w:val="none" w:color="auto"/>
              </w:rPr>
            </w:pPr>
            <w:r>
              <w:rPr>
                <w:rFonts w:ascii="宋体" w:hAnsi="宋体" w:eastAsia="宋体" w:cs="宋体"/>
                <w:spacing w:val="-2"/>
                <w:sz w:val="24"/>
                <w:szCs w:val="24"/>
                <w:u w:val="none" w:color="auto"/>
                <w14:textOutline w14:w="1524" w14:cap="flat" w14:cmpd="sng">
                  <w14:solidFill>
                    <w14:srgbClr w14:val="000000"/>
                  </w14:solidFill>
                  <w14:prstDash w14:val="solid"/>
                  <w14:miter w14:val="0"/>
                </w14:textOutline>
              </w:rPr>
              <w:t>性能要</w:t>
            </w:r>
            <w:r>
              <w:rPr>
                <w:rFonts w:ascii="宋体" w:hAnsi="宋体" w:eastAsia="宋体" w:cs="宋体"/>
                <w:sz w:val="24"/>
                <w:szCs w:val="24"/>
                <w:u w:val="none" w:color="auto"/>
              </w:rPr>
              <w:t xml:space="preserve"> </w:t>
            </w:r>
            <w:r>
              <w:rPr>
                <w:rFonts w:ascii="宋体" w:hAnsi="宋体" w:eastAsia="宋体" w:cs="宋体"/>
                <w:sz w:val="24"/>
                <w:szCs w:val="24"/>
                <w:u w:val="none" w:color="auto"/>
                <w14:textOutline w14:w="1524" w14:cap="flat" w14:cmpd="sng">
                  <w14:solidFill>
                    <w14:srgbClr w14:val="000000"/>
                  </w14:solidFill>
                  <w14:prstDash w14:val="solid"/>
                  <w14:miter w14:val="0"/>
                </w14:textOutline>
              </w:rPr>
              <w:t>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7" w:hRule="atLeast"/>
        </w:trPr>
        <w:tc>
          <w:tcPr>
            <w:tcW w:w="1787" w:type="dxa"/>
            <w:gridSpan w:val="2"/>
            <w:vMerge w:val="restart"/>
            <w:tcBorders>
              <w:bottom w:val="nil"/>
            </w:tcBorders>
            <w:vAlign w:val="center"/>
          </w:tcPr>
          <w:p>
            <w:pPr>
              <w:spacing w:line="443" w:lineRule="auto"/>
              <w:jc w:val="both"/>
              <w:rPr>
                <w:rFonts w:ascii="Arial"/>
                <w:sz w:val="21"/>
                <w:u w:val="none" w:color="auto"/>
              </w:rPr>
            </w:pPr>
          </w:p>
          <w:p>
            <w:pPr>
              <w:pStyle w:val="20"/>
              <w:spacing w:before="72" w:line="218" w:lineRule="auto"/>
              <w:ind w:left="51"/>
              <w:jc w:val="both"/>
              <w:rPr>
                <w:sz w:val="22"/>
                <w:szCs w:val="22"/>
                <w:u w:val="none" w:color="auto"/>
              </w:rPr>
            </w:pPr>
            <w:r>
              <w:rPr>
                <w:spacing w:val="-4"/>
                <w:sz w:val="22"/>
                <w:szCs w:val="22"/>
                <w:u w:val="none" w:color="auto"/>
              </w:rPr>
              <w:t>办公桌</w:t>
            </w:r>
          </w:p>
        </w:tc>
        <w:tc>
          <w:tcPr>
            <w:tcW w:w="3870" w:type="dxa"/>
            <w:vMerge w:val="restart"/>
            <w:tcBorders>
              <w:bottom w:val="nil"/>
            </w:tcBorders>
            <w:vAlign w:val="top"/>
          </w:tcPr>
          <w:p>
            <w:pPr>
              <w:spacing w:line="259" w:lineRule="auto"/>
              <w:rPr>
                <w:rFonts w:ascii="Arial"/>
                <w:sz w:val="21"/>
                <w:u w:val="none" w:color="auto"/>
              </w:rPr>
            </w:pPr>
          </w:p>
          <w:p>
            <w:pPr>
              <w:spacing w:line="260" w:lineRule="auto"/>
              <w:rPr>
                <w:rFonts w:ascii="Arial"/>
                <w:sz w:val="21"/>
                <w:u w:val="none" w:color="auto"/>
              </w:rPr>
            </w:pPr>
          </w:p>
          <w:p>
            <w:pPr>
              <w:spacing w:line="260" w:lineRule="auto"/>
              <w:rPr>
                <w:rFonts w:ascii="Arial"/>
                <w:sz w:val="21"/>
                <w:u w:val="none" w:color="auto"/>
              </w:rPr>
            </w:pPr>
          </w:p>
          <w:p>
            <w:pPr>
              <w:spacing w:line="260" w:lineRule="auto"/>
              <w:rPr>
                <w:rFonts w:ascii="Arial"/>
                <w:sz w:val="21"/>
                <w:u w:val="none" w:color="auto"/>
              </w:rPr>
            </w:pPr>
          </w:p>
          <w:p>
            <w:pPr>
              <w:pStyle w:val="20"/>
              <w:spacing w:before="71" w:line="222" w:lineRule="auto"/>
              <w:ind w:left="39"/>
              <w:rPr>
                <w:sz w:val="22"/>
                <w:szCs w:val="22"/>
                <w:u w:val="none" w:color="auto"/>
              </w:rPr>
            </w:pPr>
            <w:r>
              <w:rPr>
                <w:spacing w:val="-4"/>
                <w:sz w:val="22"/>
                <w:szCs w:val="22"/>
                <w:u w:val="none" w:color="auto"/>
              </w:rPr>
              <w:t>1套/人</w:t>
            </w:r>
          </w:p>
        </w:tc>
        <w:tc>
          <w:tcPr>
            <w:tcW w:w="1804" w:type="dxa"/>
            <w:vAlign w:val="top"/>
          </w:tcPr>
          <w:p>
            <w:pPr>
              <w:pStyle w:val="20"/>
              <w:spacing w:before="217" w:line="219" w:lineRule="auto"/>
              <w:ind w:left="40"/>
              <w:rPr>
                <w:sz w:val="22"/>
                <w:szCs w:val="22"/>
                <w:u w:val="none" w:color="auto"/>
              </w:rPr>
            </w:pPr>
            <w:r>
              <w:rPr>
                <w:sz w:val="22"/>
                <w:szCs w:val="22"/>
                <w:u w:val="none" w:color="auto"/>
              </w:rPr>
              <w:t>厅局级：4500</w:t>
            </w:r>
          </w:p>
        </w:tc>
        <w:tc>
          <w:tcPr>
            <w:tcW w:w="880" w:type="dxa"/>
            <w:vMerge w:val="restart"/>
            <w:tcBorders>
              <w:bottom w:val="nil"/>
              <w:right w:val="single" w:color="000000" w:sz="8" w:space="0"/>
            </w:tcBorders>
            <w:vAlign w:val="top"/>
          </w:tcPr>
          <w:p>
            <w:pPr>
              <w:spacing w:line="266" w:lineRule="auto"/>
              <w:rPr>
                <w:rFonts w:ascii="Arial"/>
                <w:sz w:val="21"/>
                <w:u w:val="none" w:color="auto"/>
              </w:rPr>
            </w:pPr>
          </w:p>
          <w:p>
            <w:pPr>
              <w:spacing w:line="267" w:lineRule="auto"/>
              <w:rPr>
                <w:rFonts w:ascii="Arial"/>
                <w:sz w:val="21"/>
                <w:u w:val="none" w:color="auto"/>
              </w:rPr>
            </w:pPr>
          </w:p>
          <w:p>
            <w:pPr>
              <w:spacing w:line="267" w:lineRule="auto"/>
              <w:rPr>
                <w:rFonts w:ascii="Arial"/>
                <w:sz w:val="21"/>
                <w:u w:val="none" w:color="auto"/>
              </w:rPr>
            </w:pPr>
          </w:p>
          <w:p>
            <w:pPr>
              <w:spacing w:line="267" w:lineRule="auto"/>
              <w:rPr>
                <w:rFonts w:ascii="Arial"/>
                <w:sz w:val="21"/>
                <w:u w:val="none" w:color="auto"/>
              </w:rPr>
            </w:pPr>
          </w:p>
          <w:p>
            <w:pPr>
              <w:pStyle w:val="20"/>
              <w:spacing w:before="72" w:line="182" w:lineRule="auto"/>
              <w:ind w:left="365"/>
              <w:rPr>
                <w:sz w:val="22"/>
                <w:szCs w:val="22"/>
                <w:u w:val="none" w:color="auto"/>
              </w:rPr>
            </w:pPr>
            <w:r>
              <w:rPr>
                <w:spacing w:val="-6"/>
                <w:sz w:val="22"/>
                <w:szCs w:val="22"/>
                <w:u w:val="none" w:color="auto"/>
              </w:rPr>
              <w:t>15</w:t>
            </w:r>
          </w:p>
        </w:tc>
        <w:tc>
          <w:tcPr>
            <w:tcW w:w="919" w:type="dxa"/>
            <w:vMerge w:val="restart"/>
            <w:tcBorders>
              <w:left w:val="single" w:color="000000" w:sz="8" w:space="0"/>
              <w:bottom w:val="nil"/>
            </w:tcBorders>
            <w:vAlign w:val="top"/>
          </w:tcPr>
          <w:p>
            <w:pPr>
              <w:spacing w:line="242" w:lineRule="auto"/>
              <w:rPr>
                <w:rFonts w:ascii="Arial"/>
                <w:sz w:val="21"/>
                <w:u w:val="none" w:color="auto"/>
              </w:rPr>
            </w:pPr>
          </w:p>
          <w:p>
            <w:pPr>
              <w:spacing w:line="242" w:lineRule="auto"/>
              <w:rPr>
                <w:rFonts w:ascii="Arial"/>
                <w:sz w:val="21"/>
                <w:u w:val="none" w:color="auto"/>
              </w:rPr>
            </w:pPr>
          </w:p>
          <w:p>
            <w:pPr>
              <w:spacing w:line="242" w:lineRule="auto"/>
              <w:rPr>
                <w:rFonts w:ascii="Arial"/>
                <w:sz w:val="21"/>
                <w:u w:val="none" w:color="auto"/>
              </w:rPr>
            </w:pPr>
          </w:p>
          <w:p>
            <w:pPr>
              <w:spacing w:line="242" w:lineRule="auto"/>
              <w:rPr>
                <w:rFonts w:ascii="Arial"/>
                <w:sz w:val="21"/>
                <w:u w:val="none" w:color="auto"/>
              </w:rPr>
            </w:pPr>
          </w:p>
          <w:p>
            <w:pPr>
              <w:spacing w:line="242" w:lineRule="auto"/>
              <w:rPr>
                <w:rFonts w:ascii="Arial"/>
                <w:sz w:val="21"/>
                <w:u w:val="none" w:color="auto"/>
              </w:rPr>
            </w:pPr>
          </w:p>
          <w:p>
            <w:pPr>
              <w:spacing w:line="242" w:lineRule="auto"/>
              <w:rPr>
                <w:rFonts w:ascii="Arial"/>
                <w:sz w:val="21"/>
                <w:u w:val="none" w:color="auto"/>
              </w:rPr>
            </w:pPr>
          </w:p>
          <w:p>
            <w:pPr>
              <w:spacing w:line="242" w:lineRule="auto"/>
              <w:rPr>
                <w:rFonts w:ascii="Arial"/>
                <w:sz w:val="21"/>
                <w:u w:val="none" w:color="auto"/>
              </w:rPr>
            </w:pPr>
          </w:p>
          <w:p>
            <w:pPr>
              <w:spacing w:line="242" w:lineRule="auto"/>
              <w:rPr>
                <w:rFonts w:ascii="Arial"/>
                <w:sz w:val="21"/>
                <w:u w:val="none" w:color="auto"/>
              </w:rPr>
            </w:pPr>
          </w:p>
          <w:p>
            <w:pPr>
              <w:spacing w:line="242" w:lineRule="auto"/>
              <w:rPr>
                <w:rFonts w:ascii="Arial"/>
                <w:sz w:val="21"/>
                <w:u w:val="none" w:color="auto"/>
              </w:rPr>
            </w:pPr>
          </w:p>
          <w:p>
            <w:pPr>
              <w:spacing w:line="242" w:lineRule="auto"/>
              <w:rPr>
                <w:rFonts w:ascii="Arial"/>
                <w:sz w:val="21"/>
                <w:u w:val="none" w:color="auto"/>
              </w:rPr>
            </w:pPr>
          </w:p>
          <w:p>
            <w:pPr>
              <w:spacing w:line="242" w:lineRule="auto"/>
              <w:rPr>
                <w:rFonts w:ascii="Arial"/>
                <w:sz w:val="21"/>
                <w:u w:val="none" w:color="auto"/>
              </w:rPr>
            </w:pPr>
          </w:p>
          <w:p>
            <w:pPr>
              <w:spacing w:line="242" w:lineRule="auto"/>
              <w:rPr>
                <w:rFonts w:ascii="Arial"/>
                <w:sz w:val="21"/>
                <w:u w:val="none" w:color="auto"/>
              </w:rPr>
            </w:pPr>
          </w:p>
          <w:p>
            <w:pPr>
              <w:spacing w:line="243" w:lineRule="auto"/>
              <w:rPr>
                <w:rFonts w:ascii="Arial"/>
                <w:sz w:val="21"/>
                <w:u w:val="none" w:color="auto"/>
              </w:rPr>
            </w:pPr>
          </w:p>
          <w:p>
            <w:pPr>
              <w:spacing w:line="243" w:lineRule="auto"/>
              <w:rPr>
                <w:rFonts w:ascii="Arial"/>
                <w:sz w:val="21"/>
                <w:u w:val="none" w:color="auto"/>
              </w:rPr>
            </w:pPr>
          </w:p>
          <w:p>
            <w:pPr>
              <w:pStyle w:val="20"/>
              <w:spacing w:before="72" w:line="223" w:lineRule="auto"/>
              <w:ind w:left="125" w:right="111" w:firstLine="8"/>
              <w:rPr>
                <w:sz w:val="22"/>
                <w:szCs w:val="22"/>
                <w:u w:val="none" w:color="auto"/>
              </w:rPr>
            </w:pPr>
            <w:r>
              <w:rPr>
                <w:spacing w:val="-4"/>
                <w:sz w:val="22"/>
                <w:szCs w:val="22"/>
                <w:u w:val="none" w:color="auto"/>
              </w:rPr>
              <w:t>充分考</w:t>
            </w:r>
            <w:r>
              <w:rPr>
                <w:sz w:val="22"/>
                <w:szCs w:val="22"/>
                <w:u w:val="none" w:color="auto"/>
              </w:rPr>
              <w:t xml:space="preserve"> </w:t>
            </w:r>
            <w:r>
              <w:rPr>
                <w:spacing w:val="-1"/>
                <w:sz w:val="22"/>
                <w:szCs w:val="22"/>
                <w:u w:val="none" w:color="auto"/>
              </w:rPr>
              <w:t>虑办公</w:t>
            </w:r>
            <w:r>
              <w:rPr>
                <w:sz w:val="22"/>
                <w:szCs w:val="22"/>
                <w:u w:val="none" w:color="auto"/>
              </w:rPr>
              <w:t xml:space="preserve"> </w:t>
            </w:r>
            <w:r>
              <w:rPr>
                <w:spacing w:val="1"/>
                <w:sz w:val="22"/>
                <w:szCs w:val="22"/>
                <w:u w:val="none" w:color="auto"/>
              </w:rPr>
              <w:t>布局，</w:t>
            </w:r>
            <w:r>
              <w:rPr>
                <w:sz w:val="22"/>
                <w:szCs w:val="22"/>
                <w:u w:val="none" w:color="auto"/>
              </w:rPr>
              <w:t xml:space="preserve"> </w:t>
            </w:r>
            <w:r>
              <w:rPr>
                <w:spacing w:val="-1"/>
                <w:sz w:val="22"/>
                <w:szCs w:val="22"/>
                <w:u w:val="none" w:color="auto"/>
              </w:rPr>
              <w:t>符合简</w:t>
            </w:r>
            <w:r>
              <w:rPr>
                <w:sz w:val="22"/>
                <w:szCs w:val="22"/>
                <w:u w:val="none" w:color="auto"/>
              </w:rPr>
              <w:t xml:space="preserve"> </w:t>
            </w:r>
            <w:r>
              <w:rPr>
                <w:spacing w:val="-1"/>
                <w:sz w:val="22"/>
                <w:szCs w:val="22"/>
                <w:u w:val="none" w:color="auto"/>
              </w:rPr>
              <w:t>朴实用</w:t>
            </w:r>
            <w:r>
              <w:rPr>
                <w:sz w:val="22"/>
                <w:szCs w:val="22"/>
                <w:u w:val="none" w:color="auto"/>
              </w:rPr>
              <w:t xml:space="preserve"> 、经典</w:t>
            </w:r>
            <w:r>
              <w:rPr>
                <w:spacing w:val="1"/>
                <w:sz w:val="22"/>
                <w:szCs w:val="22"/>
                <w:u w:val="none" w:color="auto"/>
              </w:rPr>
              <w:t xml:space="preserve"> </w:t>
            </w:r>
            <w:r>
              <w:rPr>
                <w:spacing w:val="-1"/>
                <w:sz w:val="22"/>
                <w:szCs w:val="22"/>
                <w:u w:val="none" w:color="auto"/>
              </w:rPr>
              <w:t>耐用要</w:t>
            </w:r>
            <w:r>
              <w:rPr>
                <w:sz w:val="22"/>
                <w:szCs w:val="22"/>
                <w:u w:val="none" w:color="auto"/>
              </w:rPr>
              <w:t xml:space="preserve"> </w:t>
            </w:r>
            <w:r>
              <w:rPr>
                <w:spacing w:val="1"/>
                <w:sz w:val="22"/>
                <w:szCs w:val="22"/>
                <w:u w:val="none" w:color="auto"/>
              </w:rPr>
              <w:t>求，不</w:t>
            </w:r>
            <w:r>
              <w:rPr>
                <w:sz w:val="22"/>
                <w:szCs w:val="22"/>
                <w:u w:val="none" w:color="auto"/>
              </w:rPr>
              <w:t xml:space="preserve"> </w:t>
            </w:r>
            <w:r>
              <w:rPr>
                <w:spacing w:val="-1"/>
                <w:sz w:val="22"/>
                <w:szCs w:val="22"/>
                <w:u w:val="none" w:color="auto"/>
              </w:rPr>
              <w:t>得配置</w:t>
            </w:r>
            <w:r>
              <w:rPr>
                <w:sz w:val="22"/>
                <w:szCs w:val="22"/>
                <w:u w:val="none" w:color="auto"/>
              </w:rPr>
              <w:t xml:space="preserve"> </w:t>
            </w:r>
            <w:r>
              <w:rPr>
                <w:spacing w:val="-1"/>
                <w:sz w:val="22"/>
                <w:szCs w:val="22"/>
                <w:u w:val="none" w:color="auto"/>
              </w:rPr>
              <w:t>豪华家</w:t>
            </w:r>
            <w:r>
              <w:rPr>
                <w:sz w:val="22"/>
                <w:szCs w:val="22"/>
                <w:u w:val="none" w:color="auto"/>
              </w:rPr>
              <w:t xml:space="preserve"> </w:t>
            </w:r>
            <w:r>
              <w:rPr>
                <w:spacing w:val="1"/>
                <w:sz w:val="22"/>
                <w:szCs w:val="22"/>
                <w:u w:val="none" w:color="auto"/>
              </w:rPr>
              <w:t>具，不</w:t>
            </w:r>
            <w:r>
              <w:rPr>
                <w:sz w:val="22"/>
                <w:szCs w:val="22"/>
                <w:u w:val="none" w:color="auto"/>
              </w:rPr>
              <w:t xml:space="preserve"> </w:t>
            </w:r>
            <w:r>
              <w:rPr>
                <w:spacing w:val="-1"/>
                <w:sz w:val="22"/>
                <w:szCs w:val="22"/>
                <w:u w:val="none" w:color="auto"/>
              </w:rPr>
              <w:t>得使用</w:t>
            </w:r>
            <w:r>
              <w:rPr>
                <w:sz w:val="22"/>
                <w:szCs w:val="22"/>
                <w:u w:val="none" w:color="auto"/>
              </w:rPr>
              <w:t xml:space="preserve"> </w:t>
            </w:r>
            <w:r>
              <w:rPr>
                <w:spacing w:val="-1"/>
                <w:sz w:val="22"/>
                <w:szCs w:val="22"/>
                <w:u w:val="none" w:color="auto"/>
              </w:rPr>
              <w:t>名贵木</w:t>
            </w:r>
          </w:p>
          <w:p>
            <w:pPr>
              <w:pStyle w:val="20"/>
              <w:spacing w:line="218" w:lineRule="auto"/>
              <w:ind w:left="357"/>
              <w:rPr>
                <w:sz w:val="22"/>
                <w:szCs w:val="22"/>
                <w:u w:val="none" w:color="auto"/>
              </w:rPr>
            </w:pPr>
            <w:r>
              <w:rPr>
                <w:sz w:val="22"/>
                <w:szCs w:val="22"/>
                <w:u w:val="none" w:color="auto"/>
              </w:rPr>
              <w:t>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7" w:hRule="atLeast"/>
        </w:trPr>
        <w:tc>
          <w:tcPr>
            <w:tcW w:w="1787" w:type="dxa"/>
            <w:gridSpan w:val="2"/>
            <w:vMerge w:val="continue"/>
            <w:tcBorders>
              <w:top w:val="nil"/>
            </w:tcBorders>
            <w:vAlign w:val="center"/>
          </w:tcPr>
          <w:p>
            <w:pPr>
              <w:jc w:val="both"/>
              <w:rPr>
                <w:rFonts w:ascii="Arial"/>
                <w:sz w:val="21"/>
                <w:u w:val="none" w:color="auto"/>
              </w:rPr>
            </w:pPr>
          </w:p>
        </w:tc>
        <w:tc>
          <w:tcPr>
            <w:tcW w:w="3870" w:type="dxa"/>
            <w:vMerge w:val="continue"/>
            <w:tcBorders>
              <w:top w:val="nil"/>
              <w:bottom w:val="nil"/>
            </w:tcBorders>
            <w:vAlign w:val="top"/>
          </w:tcPr>
          <w:p>
            <w:pPr>
              <w:rPr>
                <w:rFonts w:ascii="Arial"/>
                <w:sz w:val="21"/>
                <w:u w:val="none" w:color="auto"/>
              </w:rPr>
            </w:pPr>
          </w:p>
        </w:tc>
        <w:tc>
          <w:tcPr>
            <w:tcW w:w="1804" w:type="dxa"/>
            <w:vAlign w:val="top"/>
          </w:tcPr>
          <w:p>
            <w:pPr>
              <w:pStyle w:val="20"/>
              <w:spacing w:before="81" w:line="300" w:lineRule="exact"/>
              <w:ind w:left="50"/>
              <w:rPr>
                <w:sz w:val="22"/>
                <w:szCs w:val="22"/>
                <w:u w:val="none" w:color="auto"/>
              </w:rPr>
            </w:pPr>
            <w:r>
              <w:rPr>
                <w:spacing w:val="-3"/>
                <w:position w:val="5"/>
                <w:sz w:val="22"/>
                <w:szCs w:val="22"/>
                <w:u w:val="none" w:color="auto"/>
              </w:rPr>
              <w:t>处级及以下：</w:t>
            </w:r>
          </w:p>
          <w:p>
            <w:pPr>
              <w:pStyle w:val="20"/>
              <w:spacing w:line="164" w:lineRule="auto"/>
              <w:ind w:left="58"/>
              <w:rPr>
                <w:sz w:val="22"/>
                <w:szCs w:val="22"/>
                <w:u w:val="none" w:color="auto"/>
              </w:rPr>
            </w:pPr>
            <w:r>
              <w:rPr>
                <w:spacing w:val="-5"/>
                <w:sz w:val="22"/>
                <w:szCs w:val="22"/>
                <w:u w:val="none" w:color="auto"/>
              </w:rPr>
              <w:t>3000</w:t>
            </w:r>
          </w:p>
        </w:tc>
        <w:tc>
          <w:tcPr>
            <w:tcW w:w="880" w:type="dxa"/>
            <w:vMerge w:val="continue"/>
            <w:tcBorders>
              <w:top w:val="nil"/>
              <w:bottom w:val="nil"/>
              <w:right w:val="single" w:color="000000" w:sz="8" w:space="0"/>
            </w:tcBorders>
            <w:vAlign w:val="top"/>
          </w:tcPr>
          <w:p>
            <w:pPr>
              <w:rPr>
                <w:rFonts w:ascii="Arial"/>
                <w:sz w:val="21"/>
                <w:u w:val="none" w:color="auto"/>
              </w:rPr>
            </w:pPr>
          </w:p>
        </w:tc>
        <w:tc>
          <w:tcPr>
            <w:tcW w:w="919" w:type="dxa"/>
            <w:vMerge w:val="continue"/>
            <w:tcBorders>
              <w:top w:val="nil"/>
              <w:left w:val="single" w:color="000000" w:sz="8" w:space="0"/>
              <w:bottom w:val="nil"/>
            </w:tcBorders>
            <w:vAlign w:val="top"/>
          </w:tcPr>
          <w:p>
            <w:pPr>
              <w:rPr>
                <w:rFonts w:ascii="Arial"/>
                <w:sz w:val="21"/>
                <w:u w:val="none" w:color="auto"/>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8" w:hRule="atLeast"/>
        </w:trPr>
        <w:tc>
          <w:tcPr>
            <w:tcW w:w="1787" w:type="dxa"/>
            <w:gridSpan w:val="2"/>
            <w:vMerge w:val="restart"/>
            <w:tcBorders>
              <w:bottom w:val="nil"/>
            </w:tcBorders>
            <w:vAlign w:val="center"/>
          </w:tcPr>
          <w:p>
            <w:pPr>
              <w:spacing w:line="439" w:lineRule="auto"/>
              <w:jc w:val="both"/>
              <w:rPr>
                <w:rFonts w:ascii="Arial"/>
                <w:sz w:val="21"/>
                <w:u w:val="none" w:color="auto"/>
              </w:rPr>
            </w:pPr>
          </w:p>
          <w:p>
            <w:pPr>
              <w:pStyle w:val="20"/>
              <w:spacing w:before="72" w:line="218" w:lineRule="auto"/>
              <w:ind w:left="51"/>
              <w:jc w:val="both"/>
              <w:rPr>
                <w:sz w:val="22"/>
                <w:szCs w:val="22"/>
                <w:u w:val="none" w:color="auto"/>
              </w:rPr>
            </w:pPr>
            <w:r>
              <w:rPr>
                <w:spacing w:val="-4"/>
                <w:sz w:val="22"/>
                <w:szCs w:val="22"/>
                <w:u w:val="none" w:color="auto"/>
              </w:rPr>
              <w:t>办公椅</w:t>
            </w:r>
          </w:p>
        </w:tc>
        <w:tc>
          <w:tcPr>
            <w:tcW w:w="3870" w:type="dxa"/>
            <w:vMerge w:val="continue"/>
            <w:tcBorders>
              <w:top w:val="nil"/>
              <w:bottom w:val="nil"/>
            </w:tcBorders>
            <w:vAlign w:val="top"/>
          </w:tcPr>
          <w:p>
            <w:pPr>
              <w:rPr>
                <w:rFonts w:ascii="Arial"/>
                <w:sz w:val="21"/>
                <w:u w:val="none" w:color="auto"/>
              </w:rPr>
            </w:pPr>
          </w:p>
        </w:tc>
        <w:tc>
          <w:tcPr>
            <w:tcW w:w="1804" w:type="dxa"/>
            <w:tcBorders>
              <w:bottom w:val="single" w:color="000000" w:sz="8" w:space="0"/>
            </w:tcBorders>
            <w:vAlign w:val="top"/>
          </w:tcPr>
          <w:p>
            <w:pPr>
              <w:pStyle w:val="20"/>
              <w:spacing w:before="213" w:line="219" w:lineRule="auto"/>
              <w:ind w:left="40"/>
              <w:rPr>
                <w:sz w:val="22"/>
                <w:szCs w:val="22"/>
                <w:u w:val="none" w:color="auto"/>
              </w:rPr>
            </w:pPr>
            <w:r>
              <w:rPr>
                <w:sz w:val="22"/>
                <w:szCs w:val="22"/>
                <w:u w:val="none" w:color="auto"/>
              </w:rPr>
              <w:t>厅局级：1500</w:t>
            </w:r>
          </w:p>
        </w:tc>
        <w:tc>
          <w:tcPr>
            <w:tcW w:w="880" w:type="dxa"/>
            <w:vMerge w:val="continue"/>
            <w:tcBorders>
              <w:top w:val="nil"/>
              <w:bottom w:val="nil"/>
              <w:right w:val="single" w:color="000000" w:sz="8" w:space="0"/>
            </w:tcBorders>
            <w:vAlign w:val="top"/>
          </w:tcPr>
          <w:p>
            <w:pPr>
              <w:rPr>
                <w:rFonts w:ascii="Arial"/>
                <w:sz w:val="21"/>
                <w:u w:val="none" w:color="auto"/>
              </w:rPr>
            </w:pPr>
          </w:p>
        </w:tc>
        <w:tc>
          <w:tcPr>
            <w:tcW w:w="919" w:type="dxa"/>
            <w:vMerge w:val="continue"/>
            <w:tcBorders>
              <w:top w:val="nil"/>
              <w:left w:val="single" w:color="000000" w:sz="8" w:space="0"/>
              <w:bottom w:val="nil"/>
            </w:tcBorders>
            <w:vAlign w:val="top"/>
          </w:tcPr>
          <w:p>
            <w:pPr>
              <w:rPr>
                <w:rFonts w:ascii="Arial"/>
                <w:sz w:val="21"/>
                <w:u w:val="none" w:color="auto"/>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2" w:hRule="atLeast"/>
        </w:trPr>
        <w:tc>
          <w:tcPr>
            <w:tcW w:w="1787" w:type="dxa"/>
            <w:gridSpan w:val="2"/>
            <w:vMerge w:val="continue"/>
            <w:tcBorders>
              <w:top w:val="nil"/>
              <w:bottom w:val="single" w:color="000000" w:sz="8" w:space="0"/>
            </w:tcBorders>
            <w:vAlign w:val="center"/>
          </w:tcPr>
          <w:p>
            <w:pPr>
              <w:jc w:val="both"/>
              <w:rPr>
                <w:rFonts w:ascii="Arial"/>
                <w:sz w:val="21"/>
                <w:u w:val="none" w:color="auto"/>
              </w:rPr>
            </w:pPr>
          </w:p>
        </w:tc>
        <w:tc>
          <w:tcPr>
            <w:tcW w:w="3870" w:type="dxa"/>
            <w:vMerge w:val="continue"/>
            <w:tcBorders>
              <w:top w:val="nil"/>
              <w:bottom w:val="single" w:color="000000" w:sz="8" w:space="0"/>
            </w:tcBorders>
            <w:vAlign w:val="top"/>
          </w:tcPr>
          <w:p>
            <w:pPr>
              <w:rPr>
                <w:rFonts w:ascii="Arial"/>
                <w:sz w:val="21"/>
                <w:u w:val="none" w:color="auto"/>
              </w:rPr>
            </w:pPr>
          </w:p>
        </w:tc>
        <w:tc>
          <w:tcPr>
            <w:tcW w:w="1804" w:type="dxa"/>
            <w:tcBorders>
              <w:top w:val="single" w:color="000000" w:sz="8" w:space="0"/>
              <w:bottom w:val="single" w:color="000000" w:sz="8" w:space="0"/>
            </w:tcBorders>
            <w:vAlign w:val="top"/>
          </w:tcPr>
          <w:p>
            <w:pPr>
              <w:pStyle w:val="20"/>
              <w:spacing w:before="205" w:line="218" w:lineRule="auto"/>
              <w:ind w:left="50"/>
              <w:rPr>
                <w:sz w:val="22"/>
                <w:szCs w:val="22"/>
                <w:u w:val="none" w:color="auto"/>
              </w:rPr>
            </w:pPr>
            <w:r>
              <w:rPr>
                <w:spacing w:val="-2"/>
                <w:sz w:val="22"/>
                <w:szCs w:val="22"/>
                <w:u w:val="none" w:color="auto"/>
              </w:rPr>
              <w:t>处级及以下：800</w:t>
            </w:r>
          </w:p>
        </w:tc>
        <w:tc>
          <w:tcPr>
            <w:tcW w:w="880" w:type="dxa"/>
            <w:vMerge w:val="continue"/>
            <w:tcBorders>
              <w:top w:val="nil"/>
              <w:bottom w:val="single" w:color="000000" w:sz="8" w:space="0"/>
              <w:right w:val="single" w:color="000000" w:sz="8" w:space="0"/>
            </w:tcBorders>
            <w:vAlign w:val="top"/>
          </w:tcPr>
          <w:p>
            <w:pPr>
              <w:rPr>
                <w:rFonts w:ascii="Arial"/>
                <w:sz w:val="21"/>
                <w:u w:val="none" w:color="auto"/>
              </w:rPr>
            </w:pPr>
          </w:p>
        </w:tc>
        <w:tc>
          <w:tcPr>
            <w:tcW w:w="919" w:type="dxa"/>
            <w:vMerge w:val="continue"/>
            <w:tcBorders>
              <w:top w:val="nil"/>
              <w:left w:val="single" w:color="000000" w:sz="8" w:space="0"/>
              <w:bottom w:val="nil"/>
            </w:tcBorders>
            <w:vAlign w:val="top"/>
          </w:tcPr>
          <w:p>
            <w:pPr>
              <w:rPr>
                <w:rFonts w:ascii="Arial"/>
                <w:sz w:val="21"/>
                <w:u w:val="none" w:color="auto"/>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2" w:hRule="atLeast"/>
        </w:trPr>
        <w:tc>
          <w:tcPr>
            <w:tcW w:w="1787" w:type="dxa"/>
            <w:gridSpan w:val="2"/>
            <w:vMerge w:val="restart"/>
            <w:tcBorders>
              <w:top w:val="single" w:color="000000" w:sz="8" w:space="0"/>
              <w:bottom w:val="nil"/>
            </w:tcBorders>
            <w:vAlign w:val="center"/>
          </w:tcPr>
          <w:p>
            <w:pPr>
              <w:spacing w:line="274" w:lineRule="auto"/>
              <w:jc w:val="both"/>
              <w:rPr>
                <w:rFonts w:ascii="Arial"/>
                <w:sz w:val="21"/>
                <w:u w:val="none" w:color="auto"/>
              </w:rPr>
            </w:pPr>
          </w:p>
          <w:p>
            <w:pPr>
              <w:spacing w:line="275" w:lineRule="auto"/>
              <w:jc w:val="both"/>
              <w:rPr>
                <w:rFonts w:ascii="Arial"/>
                <w:sz w:val="21"/>
                <w:u w:val="none" w:color="auto"/>
              </w:rPr>
            </w:pPr>
          </w:p>
          <w:p>
            <w:pPr>
              <w:pStyle w:val="20"/>
              <w:spacing w:before="71" w:line="219" w:lineRule="auto"/>
              <w:ind w:left="53"/>
              <w:jc w:val="both"/>
              <w:rPr>
                <w:sz w:val="22"/>
                <w:szCs w:val="22"/>
                <w:u w:val="none" w:color="auto"/>
              </w:rPr>
            </w:pPr>
            <w:r>
              <w:rPr>
                <w:spacing w:val="-5"/>
                <w:sz w:val="22"/>
                <w:szCs w:val="22"/>
                <w:u w:val="none" w:color="auto"/>
              </w:rPr>
              <w:t>沙发</w:t>
            </w:r>
          </w:p>
        </w:tc>
        <w:tc>
          <w:tcPr>
            <w:tcW w:w="3870" w:type="dxa"/>
            <w:vMerge w:val="restart"/>
            <w:tcBorders>
              <w:top w:val="single" w:color="000000" w:sz="8" w:space="0"/>
              <w:bottom w:val="nil"/>
            </w:tcBorders>
            <w:vAlign w:val="top"/>
          </w:tcPr>
          <w:p>
            <w:pPr>
              <w:pStyle w:val="20"/>
              <w:spacing w:before="219" w:line="221" w:lineRule="auto"/>
              <w:ind w:left="24" w:right="88" w:firstLine="4"/>
              <w:rPr>
                <w:sz w:val="22"/>
                <w:szCs w:val="22"/>
                <w:u w:val="none" w:color="auto"/>
              </w:rPr>
            </w:pPr>
            <w:r>
              <w:rPr>
                <w:spacing w:val="-1"/>
                <w:sz w:val="22"/>
                <w:szCs w:val="22"/>
                <w:u w:val="none" w:color="auto"/>
              </w:rPr>
              <w:t>视办公室使用面积，每个处级及以下办</w:t>
            </w:r>
            <w:r>
              <w:rPr>
                <w:spacing w:val="10"/>
                <w:sz w:val="22"/>
                <w:szCs w:val="22"/>
                <w:u w:val="none" w:color="auto"/>
              </w:rPr>
              <w:t xml:space="preserve"> </w:t>
            </w:r>
            <w:r>
              <w:rPr>
                <w:sz w:val="22"/>
                <w:szCs w:val="22"/>
                <w:u w:val="none" w:color="auto"/>
              </w:rPr>
              <w:t xml:space="preserve">公室可以配置1个三人沙发或2个单人沙 </w:t>
            </w:r>
            <w:r>
              <w:rPr>
                <w:spacing w:val="-1"/>
                <w:sz w:val="22"/>
                <w:szCs w:val="22"/>
                <w:u w:val="none" w:color="auto"/>
              </w:rPr>
              <w:t>发，每个厅局级办公室可以配置1个三</w:t>
            </w:r>
            <w:r>
              <w:rPr>
                <w:spacing w:val="7"/>
                <w:sz w:val="22"/>
                <w:szCs w:val="22"/>
                <w:u w:val="none" w:color="auto"/>
              </w:rPr>
              <w:t xml:space="preserve">  </w:t>
            </w:r>
            <w:r>
              <w:rPr>
                <w:spacing w:val="-1"/>
                <w:sz w:val="22"/>
                <w:szCs w:val="22"/>
                <w:u w:val="none" w:color="auto"/>
              </w:rPr>
              <w:t>人沙发和2个单人沙发。</w:t>
            </w:r>
          </w:p>
        </w:tc>
        <w:tc>
          <w:tcPr>
            <w:tcW w:w="1804" w:type="dxa"/>
            <w:tcBorders>
              <w:top w:val="single" w:color="000000" w:sz="8" w:space="0"/>
              <w:bottom w:val="single" w:color="000000" w:sz="8" w:space="0"/>
            </w:tcBorders>
            <w:vAlign w:val="top"/>
          </w:tcPr>
          <w:p>
            <w:pPr>
              <w:pStyle w:val="20"/>
              <w:spacing w:before="203" w:line="219" w:lineRule="auto"/>
              <w:ind w:left="40"/>
              <w:rPr>
                <w:sz w:val="22"/>
                <w:szCs w:val="22"/>
                <w:u w:val="none" w:color="auto"/>
              </w:rPr>
            </w:pPr>
            <w:r>
              <w:rPr>
                <w:sz w:val="22"/>
                <w:szCs w:val="22"/>
                <w:u w:val="none" w:color="auto"/>
              </w:rPr>
              <w:t>厅局级：4500</w:t>
            </w:r>
          </w:p>
        </w:tc>
        <w:tc>
          <w:tcPr>
            <w:tcW w:w="880" w:type="dxa"/>
            <w:vMerge w:val="restart"/>
            <w:tcBorders>
              <w:top w:val="single" w:color="000000" w:sz="8" w:space="0"/>
              <w:bottom w:val="nil"/>
              <w:right w:val="single" w:color="000000" w:sz="8" w:space="0"/>
            </w:tcBorders>
            <w:vAlign w:val="top"/>
          </w:tcPr>
          <w:p>
            <w:pPr>
              <w:spacing w:line="288" w:lineRule="auto"/>
              <w:rPr>
                <w:rFonts w:ascii="Arial"/>
                <w:sz w:val="21"/>
                <w:u w:val="none" w:color="auto"/>
              </w:rPr>
            </w:pPr>
          </w:p>
          <w:p>
            <w:pPr>
              <w:spacing w:line="288" w:lineRule="auto"/>
              <w:rPr>
                <w:rFonts w:ascii="Arial"/>
                <w:sz w:val="21"/>
                <w:u w:val="none" w:color="auto"/>
              </w:rPr>
            </w:pPr>
          </w:p>
          <w:p>
            <w:pPr>
              <w:pStyle w:val="20"/>
              <w:spacing w:before="72" w:line="182" w:lineRule="auto"/>
              <w:ind w:left="365"/>
              <w:rPr>
                <w:sz w:val="22"/>
                <w:szCs w:val="22"/>
                <w:u w:val="none" w:color="auto"/>
              </w:rPr>
            </w:pPr>
            <w:r>
              <w:rPr>
                <w:spacing w:val="-6"/>
                <w:sz w:val="22"/>
                <w:szCs w:val="22"/>
                <w:u w:val="none" w:color="auto"/>
              </w:rPr>
              <w:t>15</w:t>
            </w:r>
          </w:p>
        </w:tc>
        <w:tc>
          <w:tcPr>
            <w:tcW w:w="919" w:type="dxa"/>
            <w:vMerge w:val="continue"/>
            <w:tcBorders>
              <w:top w:val="nil"/>
              <w:left w:val="single" w:color="000000" w:sz="8" w:space="0"/>
              <w:bottom w:val="nil"/>
            </w:tcBorders>
            <w:vAlign w:val="top"/>
          </w:tcPr>
          <w:p>
            <w:pPr>
              <w:rPr>
                <w:rFonts w:ascii="Arial"/>
                <w:sz w:val="21"/>
                <w:u w:val="none" w:color="auto"/>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4" w:hRule="atLeast"/>
        </w:trPr>
        <w:tc>
          <w:tcPr>
            <w:tcW w:w="1787" w:type="dxa"/>
            <w:gridSpan w:val="2"/>
            <w:vMerge w:val="continue"/>
            <w:tcBorders>
              <w:top w:val="nil"/>
              <w:bottom w:val="single" w:color="000000" w:sz="8" w:space="0"/>
            </w:tcBorders>
            <w:vAlign w:val="center"/>
          </w:tcPr>
          <w:p>
            <w:pPr>
              <w:jc w:val="both"/>
              <w:rPr>
                <w:rFonts w:ascii="Arial"/>
                <w:sz w:val="21"/>
                <w:u w:val="none" w:color="auto"/>
              </w:rPr>
            </w:pPr>
          </w:p>
        </w:tc>
        <w:tc>
          <w:tcPr>
            <w:tcW w:w="3870" w:type="dxa"/>
            <w:vMerge w:val="continue"/>
            <w:tcBorders>
              <w:top w:val="nil"/>
              <w:bottom w:val="single" w:color="000000" w:sz="8" w:space="0"/>
            </w:tcBorders>
            <w:vAlign w:val="top"/>
          </w:tcPr>
          <w:p>
            <w:pPr>
              <w:rPr>
                <w:rFonts w:ascii="Arial"/>
                <w:sz w:val="21"/>
                <w:u w:val="none" w:color="auto"/>
              </w:rPr>
            </w:pPr>
          </w:p>
        </w:tc>
        <w:tc>
          <w:tcPr>
            <w:tcW w:w="1804" w:type="dxa"/>
            <w:tcBorders>
              <w:top w:val="single" w:color="000000" w:sz="8" w:space="0"/>
              <w:bottom w:val="single" w:color="000000" w:sz="8" w:space="0"/>
            </w:tcBorders>
            <w:vAlign w:val="top"/>
          </w:tcPr>
          <w:p>
            <w:pPr>
              <w:pStyle w:val="20"/>
              <w:spacing w:before="187" w:line="300" w:lineRule="exact"/>
              <w:ind w:left="50"/>
              <w:rPr>
                <w:sz w:val="22"/>
                <w:szCs w:val="22"/>
                <w:u w:val="none" w:color="auto"/>
              </w:rPr>
            </w:pPr>
            <w:r>
              <w:rPr>
                <w:spacing w:val="-3"/>
                <w:position w:val="5"/>
                <w:sz w:val="22"/>
                <w:szCs w:val="22"/>
                <w:u w:val="none" w:color="auto"/>
              </w:rPr>
              <w:t>处级及以下：</w:t>
            </w:r>
          </w:p>
          <w:p>
            <w:pPr>
              <w:pStyle w:val="20"/>
              <w:spacing w:line="181" w:lineRule="auto"/>
              <w:ind w:left="58"/>
              <w:rPr>
                <w:sz w:val="22"/>
                <w:szCs w:val="22"/>
                <w:u w:val="none" w:color="auto"/>
              </w:rPr>
            </w:pPr>
            <w:r>
              <w:rPr>
                <w:spacing w:val="-5"/>
                <w:sz w:val="22"/>
                <w:szCs w:val="22"/>
                <w:u w:val="none" w:color="auto"/>
              </w:rPr>
              <w:t>3000</w:t>
            </w:r>
          </w:p>
        </w:tc>
        <w:tc>
          <w:tcPr>
            <w:tcW w:w="880" w:type="dxa"/>
            <w:vMerge w:val="continue"/>
            <w:tcBorders>
              <w:top w:val="nil"/>
              <w:bottom w:val="single" w:color="000000" w:sz="8" w:space="0"/>
              <w:right w:val="single" w:color="000000" w:sz="8" w:space="0"/>
            </w:tcBorders>
            <w:vAlign w:val="top"/>
          </w:tcPr>
          <w:p>
            <w:pPr>
              <w:rPr>
                <w:rFonts w:ascii="Arial"/>
                <w:sz w:val="21"/>
                <w:u w:val="none" w:color="auto"/>
              </w:rPr>
            </w:pPr>
          </w:p>
        </w:tc>
        <w:tc>
          <w:tcPr>
            <w:tcW w:w="919" w:type="dxa"/>
            <w:vMerge w:val="continue"/>
            <w:tcBorders>
              <w:top w:val="nil"/>
              <w:left w:val="single" w:color="000000" w:sz="8" w:space="0"/>
              <w:bottom w:val="nil"/>
            </w:tcBorders>
            <w:vAlign w:val="top"/>
          </w:tcPr>
          <w:p>
            <w:pPr>
              <w:rPr>
                <w:rFonts w:ascii="Arial"/>
                <w:sz w:val="21"/>
                <w:u w:val="none" w:color="auto"/>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3" w:hRule="atLeast"/>
        </w:trPr>
        <w:tc>
          <w:tcPr>
            <w:tcW w:w="1787" w:type="dxa"/>
            <w:gridSpan w:val="2"/>
            <w:vMerge w:val="restart"/>
            <w:tcBorders>
              <w:top w:val="single" w:color="000000" w:sz="8" w:space="0"/>
              <w:bottom w:val="nil"/>
            </w:tcBorders>
            <w:vAlign w:val="center"/>
          </w:tcPr>
          <w:p>
            <w:pPr>
              <w:spacing w:line="251" w:lineRule="auto"/>
              <w:jc w:val="both"/>
              <w:rPr>
                <w:rFonts w:ascii="Arial"/>
                <w:sz w:val="21"/>
                <w:u w:val="none" w:color="auto"/>
              </w:rPr>
            </w:pPr>
          </w:p>
          <w:p>
            <w:pPr>
              <w:spacing w:line="251" w:lineRule="auto"/>
              <w:jc w:val="both"/>
              <w:rPr>
                <w:rFonts w:ascii="Arial"/>
                <w:sz w:val="21"/>
                <w:u w:val="none" w:color="auto"/>
              </w:rPr>
            </w:pPr>
          </w:p>
          <w:p>
            <w:pPr>
              <w:pStyle w:val="20"/>
              <w:spacing w:before="72" w:line="219" w:lineRule="auto"/>
              <w:ind w:left="42"/>
              <w:jc w:val="both"/>
              <w:rPr>
                <w:sz w:val="22"/>
                <w:szCs w:val="22"/>
                <w:u w:val="none" w:color="auto"/>
              </w:rPr>
            </w:pPr>
            <w:r>
              <w:rPr>
                <w:spacing w:val="-2"/>
                <w:sz w:val="22"/>
                <w:szCs w:val="22"/>
                <w:u w:val="none" w:color="auto"/>
              </w:rPr>
              <w:t>茶几</w:t>
            </w:r>
          </w:p>
        </w:tc>
        <w:tc>
          <w:tcPr>
            <w:tcW w:w="3870" w:type="dxa"/>
            <w:vMerge w:val="restart"/>
            <w:tcBorders>
              <w:top w:val="single" w:color="000000" w:sz="8" w:space="0"/>
              <w:bottom w:val="nil"/>
            </w:tcBorders>
            <w:vAlign w:val="top"/>
          </w:tcPr>
          <w:p>
            <w:pPr>
              <w:spacing w:line="370" w:lineRule="auto"/>
              <w:rPr>
                <w:rFonts w:ascii="Arial"/>
                <w:sz w:val="21"/>
                <w:u w:val="none" w:color="auto"/>
              </w:rPr>
            </w:pPr>
          </w:p>
          <w:p>
            <w:pPr>
              <w:pStyle w:val="20"/>
              <w:spacing w:before="71" w:line="223" w:lineRule="auto"/>
              <w:ind w:left="55" w:right="91" w:hanging="26"/>
              <w:rPr>
                <w:sz w:val="22"/>
                <w:szCs w:val="22"/>
                <w:u w:val="none" w:color="auto"/>
              </w:rPr>
            </w:pPr>
            <w:r>
              <w:rPr>
                <w:spacing w:val="-1"/>
                <w:sz w:val="22"/>
                <w:szCs w:val="22"/>
                <w:u w:val="none" w:color="auto"/>
              </w:rPr>
              <w:t>视办公室使用面积，每个办公室可以可</w:t>
            </w:r>
            <w:r>
              <w:rPr>
                <w:spacing w:val="10"/>
                <w:sz w:val="22"/>
                <w:szCs w:val="22"/>
                <w:u w:val="none" w:color="auto"/>
              </w:rPr>
              <w:t xml:space="preserve"> </w:t>
            </w:r>
            <w:r>
              <w:rPr>
                <w:spacing w:val="-4"/>
                <w:sz w:val="22"/>
                <w:szCs w:val="22"/>
                <w:u w:val="none" w:color="auto"/>
              </w:rPr>
              <w:t>以配置1个茶几。</w:t>
            </w:r>
          </w:p>
        </w:tc>
        <w:tc>
          <w:tcPr>
            <w:tcW w:w="1804" w:type="dxa"/>
            <w:tcBorders>
              <w:top w:val="single" w:color="000000" w:sz="8" w:space="0"/>
            </w:tcBorders>
            <w:vAlign w:val="top"/>
          </w:tcPr>
          <w:p>
            <w:pPr>
              <w:pStyle w:val="20"/>
              <w:spacing w:before="248" w:line="219" w:lineRule="auto"/>
              <w:ind w:left="40"/>
              <w:rPr>
                <w:sz w:val="22"/>
                <w:szCs w:val="22"/>
                <w:u w:val="none" w:color="auto"/>
              </w:rPr>
            </w:pPr>
            <w:r>
              <w:rPr>
                <w:sz w:val="22"/>
                <w:szCs w:val="22"/>
                <w:u w:val="none" w:color="auto"/>
              </w:rPr>
              <w:t>厅局级：1000</w:t>
            </w:r>
          </w:p>
        </w:tc>
        <w:tc>
          <w:tcPr>
            <w:tcW w:w="880" w:type="dxa"/>
            <w:vMerge w:val="restart"/>
            <w:tcBorders>
              <w:top w:val="single" w:color="000000" w:sz="8" w:space="0"/>
              <w:bottom w:val="nil"/>
              <w:right w:val="single" w:color="000000" w:sz="8" w:space="0"/>
            </w:tcBorders>
            <w:vAlign w:val="top"/>
          </w:tcPr>
          <w:p>
            <w:pPr>
              <w:spacing w:line="265" w:lineRule="auto"/>
              <w:rPr>
                <w:rFonts w:ascii="Arial"/>
                <w:sz w:val="21"/>
                <w:u w:val="none" w:color="auto"/>
              </w:rPr>
            </w:pPr>
          </w:p>
          <w:p>
            <w:pPr>
              <w:spacing w:line="266" w:lineRule="auto"/>
              <w:rPr>
                <w:rFonts w:ascii="Arial"/>
                <w:sz w:val="21"/>
                <w:u w:val="none" w:color="auto"/>
              </w:rPr>
            </w:pPr>
          </w:p>
          <w:p>
            <w:pPr>
              <w:pStyle w:val="20"/>
              <w:spacing w:before="71" w:line="182" w:lineRule="auto"/>
              <w:ind w:left="365"/>
              <w:rPr>
                <w:sz w:val="22"/>
                <w:szCs w:val="22"/>
                <w:u w:val="none" w:color="auto"/>
              </w:rPr>
            </w:pPr>
            <w:r>
              <w:rPr>
                <w:spacing w:val="-6"/>
                <w:sz w:val="22"/>
                <w:szCs w:val="22"/>
                <w:u w:val="none" w:color="auto"/>
              </w:rPr>
              <w:t>15</w:t>
            </w:r>
          </w:p>
        </w:tc>
        <w:tc>
          <w:tcPr>
            <w:tcW w:w="919" w:type="dxa"/>
            <w:vMerge w:val="continue"/>
            <w:tcBorders>
              <w:top w:val="nil"/>
              <w:left w:val="single" w:color="000000" w:sz="8" w:space="0"/>
              <w:bottom w:val="nil"/>
            </w:tcBorders>
            <w:vAlign w:val="top"/>
          </w:tcPr>
          <w:p>
            <w:pPr>
              <w:rPr>
                <w:rFonts w:ascii="Arial"/>
                <w:sz w:val="21"/>
                <w:u w:val="none" w:color="auto"/>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6" w:hRule="atLeast"/>
        </w:trPr>
        <w:tc>
          <w:tcPr>
            <w:tcW w:w="1787" w:type="dxa"/>
            <w:gridSpan w:val="2"/>
            <w:vMerge w:val="continue"/>
            <w:tcBorders>
              <w:top w:val="nil"/>
            </w:tcBorders>
            <w:vAlign w:val="center"/>
          </w:tcPr>
          <w:p>
            <w:pPr>
              <w:jc w:val="both"/>
              <w:rPr>
                <w:rFonts w:ascii="Arial"/>
                <w:sz w:val="21"/>
                <w:u w:val="none" w:color="auto"/>
              </w:rPr>
            </w:pPr>
          </w:p>
        </w:tc>
        <w:tc>
          <w:tcPr>
            <w:tcW w:w="3870" w:type="dxa"/>
            <w:vMerge w:val="continue"/>
            <w:tcBorders>
              <w:top w:val="nil"/>
            </w:tcBorders>
            <w:vAlign w:val="top"/>
          </w:tcPr>
          <w:p>
            <w:pPr>
              <w:rPr>
                <w:rFonts w:ascii="Arial"/>
                <w:sz w:val="21"/>
                <w:u w:val="none" w:color="auto"/>
              </w:rPr>
            </w:pPr>
          </w:p>
        </w:tc>
        <w:tc>
          <w:tcPr>
            <w:tcW w:w="1804" w:type="dxa"/>
            <w:vAlign w:val="top"/>
          </w:tcPr>
          <w:p>
            <w:pPr>
              <w:pStyle w:val="20"/>
              <w:spacing w:before="251" w:line="218" w:lineRule="auto"/>
              <w:ind w:left="50"/>
              <w:rPr>
                <w:sz w:val="22"/>
                <w:szCs w:val="22"/>
                <w:u w:val="none" w:color="auto"/>
              </w:rPr>
            </w:pPr>
            <w:r>
              <w:rPr>
                <w:spacing w:val="-2"/>
                <w:sz w:val="22"/>
                <w:szCs w:val="22"/>
                <w:u w:val="none" w:color="auto"/>
              </w:rPr>
              <w:t>处级及以下：800</w:t>
            </w:r>
          </w:p>
        </w:tc>
        <w:tc>
          <w:tcPr>
            <w:tcW w:w="880" w:type="dxa"/>
            <w:vMerge w:val="continue"/>
            <w:tcBorders>
              <w:top w:val="nil"/>
              <w:right w:val="single" w:color="000000" w:sz="8" w:space="0"/>
            </w:tcBorders>
            <w:vAlign w:val="top"/>
          </w:tcPr>
          <w:p>
            <w:pPr>
              <w:rPr>
                <w:rFonts w:ascii="Arial"/>
                <w:sz w:val="21"/>
                <w:u w:val="none" w:color="auto"/>
              </w:rPr>
            </w:pPr>
          </w:p>
        </w:tc>
        <w:tc>
          <w:tcPr>
            <w:tcW w:w="919" w:type="dxa"/>
            <w:vMerge w:val="continue"/>
            <w:tcBorders>
              <w:top w:val="nil"/>
              <w:left w:val="single" w:color="000000" w:sz="8" w:space="0"/>
              <w:bottom w:val="nil"/>
            </w:tcBorders>
            <w:vAlign w:val="top"/>
          </w:tcPr>
          <w:p>
            <w:pPr>
              <w:rPr>
                <w:rFonts w:ascii="Arial"/>
                <w:sz w:val="21"/>
                <w:u w:val="none" w:color="auto"/>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6" w:hRule="atLeast"/>
        </w:trPr>
        <w:tc>
          <w:tcPr>
            <w:tcW w:w="1787" w:type="dxa"/>
            <w:gridSpan w:val="2"/>
            <w:vAlign w:val="center"/>
          </w:tcPr>
          <w:p>
            <w:pPr>
              <w:pStyle w:val="20"/>
              <w:spacing w:before="250" w:line="217" w:lineRule="auto"/>
              <w:ind w:left="41"/>
              <w:jc w:val="both"/>
              <w:rPr>
                <w:sz w:val="22"/>
                <w:szCs w:val="22"/>
                <w:u w:val="none" w:color="auto"/>
              </w:rPr>
            </w:pPr>
            <w:r>
              <w:rPr>
                <w:spacing w:val="-2"/>
                <w:sz w:val="22"/>
                <w:szCs w:val="22"/>
                <w:u w:val="none" w:color="auto"/>
              </w:rPr>
              <w:t>接待椅</w:t>
            </w:r>
          </w:p>
        </w:tc>
        <w:tc>
          <w:tcPr>
            <w:tcW w:w="3870" w:type="dxa"/>
            <w:vAlign w:val="top"/>
          </w:tcPr>
          <w:p>
            <w:pPr>
              <w:pStyle w:val="20"/>
              <w:spacing w:before="249" w:line="219" w:lineRule="auto"/>
              <w:ind w:left="39"/>
              <w:rPr>
                <w:sz w:val="22"/>
                <w:szCs w:val="22"/>
                <w:u w:val="none" w:color="auto"/>
              </w:rPr>
            </w:pPr>
            <w:r>
              <w:rPr>
                <w:spacing w:val="-2"/>
                <w:sz w:val="22"/>
                <w:szCs w:val="22"/>
                <w:u w:val="none" w:color="auto"/>
              </w:rPr>
              <w:t>1个/办公室</w:t>
            </w:r>
          </w:p>
        </w:tc>
        <w:tc>
          <w:tcPr>
            <w:tcW w:w="1804" w:type="dxa"/>
            <w:vAlign w:val="top"/>
          </w:tcPr>
          <w:p>
            <w:pPr>
              <w:pStyle w:val="20"/>
              <w:spacing w:before="278" w:line="182" w:lineRule="auto"/>
              <w:ind w:left="51"/>
              <w:rPr>
                <w:sz w:val="22"/>
                <w:szCs w:val="22"/>
                <w:u w:val="none" w:color="auto"/>
              </w:rPr>
            </w:pPr>
            <w:r>
              <w:rPr>
                <w:spacing w:val="-4"/>
                <w:sz w:val="22"/>
                <w:szCs w:val="22"/>
                <w:u w:val="none" w:color="auto"/>
              </w:rPr>
              <w:t>600</w:t>
            </w:r>
          </w:p>
        </w:tc>
        <w:tc>
          <w:tcPr>
            <w:tcW w:w="880" w:type="dxa"/>
            <w:tcBorders>
              <w:right w:val="single" w:color="000000" w:sz="8" w:space="0"/>
            </w:tcBorders>
            <w:vAlign w:val="top"/>
          </w:tcPr>
          <w:p>
            <w:pPr>
              <w:pStyle w:val="20"/>
              <w:spacing w:before="278" w:line="182" w:lineRule="auto"/>
              <w:ind w:left="365"/>
              <w:rPr>
                <w:sz w:val="22"/>
                <w:szCs w:val="22"/>
                <w:u w:val="none" w:color="auto"/>
              </w:rPr>
            </w:pPr>
            <w:r>
              <w:rPr>
                <w:spacing w:val="-6"/>
                <w:sz w:val="22"/>
                <w:szCs w:val="22"/>
                <w:u w:val="none" w:color="auto"/>
              </w:rPr>
              <w:t>15</w:t>
            </w:r>
          </w:p>
        </w:tc>
        <w:tc>
          <w:tcPr>
            <w:tcW w:w="919" w:type="dxa"/>
            <w:vMerge w:val="continue"/>
            <w:tcBorders>
              <w:top w:val="nil"/>
              <w:left w:val="single" w:color="000000" w:sz="8" w:space="0"/>
              <w:bottom w:val="nil"/>
            </w:tcBorders>
            <w:vAlign w:val="top"/>
          </w:tcPr>
          <w:p>
            <w:pPr>
              <w:rPr>
                <w:rFonts w:ascii="Arial"/>
                <w:sz w:val="21"/>
                <w:u w:val="none" w:color="auto"/>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10" w:hRule="atLeast"/>
        </w:trPr>
        <w:tc>
          <w:tcPr>
            <w:tcW w:w="1787" w:type="dxa"/>
            <w:gridSpan w:val="2"/>
            <w:vAlign w:val="center"/>
          </w:tcPr>
          <w:p>
            <w:pPr>
              <w:spacing w:line="251" w:lineRule="auto"/>
              <w:jc w:val="both"/>
              <w:rPr>
                <w:rFonts w:ascii="Arial"/>
                <w:sz w:val="21"/>
                <w:u w:val="none" w:color="auto"/>
              </w:rPr>
            </w:pPr>
          </w:p>
          <w:p>
            <w:pPr>
              <w:spacing w:line="252" w:lineRule="auto"/>
              <w:jc w:val="both"/>
              <w:rPr>
                <w:rFonts w:ascii="Arial"/>
                <w:sz w:val="21"/>
                <w:u w:val="none" w:color="auto"/>
              </w:rPr>
            </w:pPr>
          </w:p>
          <w:p>
            <w:pPr>
              <w:pStyle w:val="20"/>
              <w:spacing w:before="71" w:line="216" w:lineRule="auto"/>
              <w:ind w:left="53"/>
              <w:jc w:val="both"/>
              <w:rPr>
                <w:sz w:val="22"/>
                <w:szCs w:val="22"/>
                <w:u w:val="none" w:color="auto"/>
              </w:rPr>
            </w:pPr>
            <w:r>
              <w:rPr>
                <w:spacing w:val="-5"/>
                <w:sz w:val="22"/>
                <w:szCs w:val="22"/>
                <w:u w:val="none" w:color="auto"/>
              </w:rPr>
              <w:t>书柜</w:t>
            </w:r>
          </w:p>
        </w:tc>
        <w:tc>
          <w:tcPr>
            <w:tcW w:w="3870" w:type="dxa"/>
            <w:vAlign w:val="top"/>
          </w:tcPr>
          <w:p>
            <w:pPr>
              <w:pStyle w:val="20"/>
              <w:spacing w:before="310" w:line="227" w:lineRule="auto"/>
              <w:ind w:left="24" w:right="81" w:firstLine="4"/>
              <w:jc w:val="both"/>
              <w:rPr>
                <w:sz w:val="22"/>
                <w:szCs w:val="22"/>
                <w:u w:val="none" w:color="auto"/>
              </w:rPr>
            </w:pPr>
            <w:r>
              <w:rPr>
                <w:spacing w:val="-1"/>
                <w:sz w:val="22"/>
                <w:szCs w:val="22"/>
                <w:u w:val="none" w:color="auto"/>
              </w:rPr>
              <w:t>视办公室使用面积，每个处级及以下办</w:t>
            </w:r>
            <w:r>
              <w:rPr>
                <w:spacing w:val="10"/>
                <w:sz w:val="22"/>
                <w:szCs w:val="22"/>
                <w:u w:val="none" w:color="auto"/>
              </w:rPr>
              <w:t xml:space="preserve"> </w:t>
            </w:r>
            <w:r>
              <w:rPr>
                <w:sz w:val="22"/>
                <w:szCs w:val="22"/>
                <w:u w:val="none" w:color="auto"/>
              </w:rPr>
              <w:t>公室可以配一组，厅局级办公室可以配</w:t>
            </w:r>
            <w:r>
              <w:rPr>
                <w:spacing w:val="7"/>
                <w:sz w:val="22"/>
                <w:szCs w:val="22"/>
                <w:u w:val="none" w:color="auto"/>
              </w:rPr>
              <w:t xml:space="preserve"> </w:t>
            </w:r>
            <w:r>
              <w:rPr>
                <w:spacing w:val="1"/>
                <w:sz w:val="22"/>
                <w:szCs w:val="22"/>
                <w:u w:val="none" w:color="auto"/>
              </w:rPr>
              <w:t>2组。</w:t>
            </w:r>
          </w:p>
        </w:tc>
        <w:tc>
          <w:tcPr>
            <w:tcW w:w="1804" w:type="dxa"/>
            <w:vAlign w:val="top"/>
          </w:tcPr>
          <w:p>
            <w:pPr>
              <w:spacing w:line="265" w:lineRule="auto"/>
              <w:rPr>
                <w:rFonts w:ascii="Arial"/>
                <w:sz w:val="21"/>
                <w:u w:val="none" w:color="auto"/>
              </w:rPr>
            </w:pPr>
          </w:p>
          <w:p>
            <w:pPr>
              <w:spacing w:line="266" w:lineRule="auto"/>
              <w:rPr>
                <w:rFonts w:ascii="Arial"/>
                <w:sz w:val="21"/>
                <w:u w:val="none" w:color="auto"/>
              </w:rPr>
            </w:pPr>
          </w:p>
          <w:p>
            <w:pPr>
              <w:pStyle w:val="20"/>
              <w:spacing w:before="71" w:line="182" w:lineRule="auto"/>
              <w:ind w:left="55"/>
              <w:rPr>
                <w:sz w:val="22"/>
                <w:szCs w:val="22"/>
                <w:u w:val="none" w:color="auto"/>
              </w:rPr>
            </w:pPr>
            <w:r>
              <w:rPr>
                <w:spacing w:val="-4"/>
                <w:sz w:val="22"/>
                <w:szCs w:val="22"/>
                <w:u w:val="none" w:color="auto"/>
              </w:rPr>
              <w:t>1000</w:t>
            </w:r>
          </w:p>
        </w:tc>
        <w:tc>
          <w:tcPr>
            <w:tcW w:w="880" w:type="dxa"/>
            <w:tcBorders>
              <w:right w:val="single" w:color="000000" w:sz="8" w:space="0"/>
            </w:tcBorders>
            <w:vAlign w:val="top"/>
          </w:tcPr>
          <w:p>
            <w:pPr>
              <w:spacing w:line="265" w:lineRule="auto"/>
              <w:rPr>
                <w:rFonts w:ascii="Arial"/>
                <w:sz w:val="21"/>
                <w:u w:val="none" w:color="auto"/>
              </w:rPr>
            </w:pPr>
          </w:p>
          <w:p>
            <w:pPr>
              <w:spacing w:line="266" w:lineRule="auto"/>
              <w:rPr>
                <w:rFonts w:ascii="Arial"/>
                <w:sz w:val="21"/>
                <w:u w:val="none" w:color="auto"/>
              </w:rPr>
            </w:pPr>
          </w:p>
          <w:p>
            <w:pPr>
              <w:pStyle w:val="20"/>
              <w:spacing w:before="71" w:line="182" w:lineRule="auto"/>
              <w:ind w:left="365"/>
              <w:rPr>
                <w:sz w:val="22"/>
                <w:szCs w:val="22"/>
                <w:u w:val="none" w:color="auto"/>
              </w:rPr>
            </w:pPr>
            <w:r>
              <w:rPr>
                <w:spacing w:val="-6"/>
                <w:sz w:val="22"/>
                <w:szCs w:val="22"/>
                <w:u w:val="none" w:color="auto"/>
              </w:rPr>
              <w:t>15</w:t>
            </w:r>
          </w:p>
        </w:tc>
        <w:tc>
          <w:tcPr>
            <w:tcW w:w="919" w:type="dxa"/>
            <w:vMerge w:val="continue"/>
            <w:tcBorders>
              <w:top w:val="nil"/>
              <w:left w:val="single" w:color="000000" w:sz="8" w:space="0"/>
              <w:bottom w:val="nil"/>
            </w:tcBorders>
            <w:vAlign w:val="top"/>
          </w:tcPr>
          <w:p>
            <w:pPr>
              <w:rPr>
                <w:rFonts w:ascii="Arial"/>
                <w:sz w:val="21"/>
                <w:u w:val="none" w:color="auto"/>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6" w:hRule="atLeast"/>
        </w:trPr>
        <w:tc>
          <w:tcPr>
            <w:tcW w:w="1787" w:type="dxa"/>
            <w:gridSpan w:val="2"/>
            <w:vAlign w:val="center"/>
          </w:tcPr>
          <w:p>
            <w:pPr>
              <w:pStyle w:val="20"/>
              <w:spacing w:before="243" w:line="216" w:lineRule="auto"/>
              <w:ind w:left="51"/>
              <w:jc w:val="both"/>
              <w:rPr>
                <w:sz w:val="22"/>
                <w:szCs w:val="22"/>
                <w:u w:val="none" w:color="auto"/>
              </w:rPr>
            </w:pPr>
            <w:r>
              <w:rPr>
                <w:spacing w:val="-4"/>
                <w:sz w:val="22"/>
                <w:szCs w:val="22"/>
                <w:u w:val="none" w:color="auto"/>
              </w:rPr>
              <w:t>文件柜</w:t>
            </w:r>
          </w:p>
        </w:tc>
        <w:tc>
          <w:tcPr>
            <w:tcW w:w="3870" w:type="dxa"/>
            <w:vAlign w:val="top"/>
          </w:tcPr>
          <w:p>
            <w:pPr>
              <w:pStyle w:val="20"/>
              <w:spacing w:before="243" w:line="217" w:lineRule="auto"/>
              <w:ind w:left="26"/>
              <w:rPr>
                <w:sz w:val="22"/>
                <w:szCs w:val="22"/>
                <w:u w:val="none" w:color="auto"/>
              </w:rPr>
            </w:pPr>
            <w:r>
              <w:rPr>
                <w:spacing w:val="-1"/>
                <w:sz w:val="22"/>
                <w:szCs w:val="22"/>
                <w:u w:val="none" w:color="auto"/>
              </w:rPr>
              <w:t>按照单位需求合理配置</w:t>
            </w:r>
          </w:p>
        </w:tc>
        <w:tc>
          <w:tcPr>
            <w:tcW w:w="1804" w:type="dxa"/>
            <w:vAlign w:val="top"/>
          </w:tcPr>
          <w:p>
            <w:pPr>
              <w:pStyle w:val="20"/>
              <w:spacing w:before="272" w:line="182" w:lineRule="auto"/>
              <w:ind w:left="55"/>
              <w:rPr>
                <w:sz w:val="22"/>
                <w:szCs w:val="22"/>
                <w:u w:val="none" w:color="auto"/>
              </w:rPr>
            </w:pPr>
            <w:r>
              <w:rPr>
                <w:spacing w:val="-4"/>
                <w:sz w:val="22"/>
                <w:szCs w:val="22"/>
                <w:u w:val="none" w:color="auto"/>
              </w:rPr>
              <w:t>1000</w:t>
            </w:r>
          </w:p>
        </w:tc>
        <w:tc>
          <w:tcPr>
            <w:tcW w:w="880" w:type="dxa"/>
            <w:tcBorders>
              <w:right w:val="single" w:color="000000" w:sz="8" w:space="0"/>
            </w:tcBorders>
            <w:vAlign w:val="top"/>
          </w:tcPr>
          <w:p>
            <w:pPr>
              <w:pStyle w:val="20"/>
              <w:spacing w:before="272" w:line="182" w:lineRule="auto"/>
              <w:ind w:left="360"/>
              <w:rPr>
                <w:sz w:val="22"/>
                <w:szCs w:val="22"/>
                <w:u w:val="none" w:color="auto"/>
              </w:rPr>
            </w:pPr>
            <w:r>
              <w:rPr>
                <w:spacing w:val="-5"/>
                <w:sz w:val="22"/>
                <w:szCs w:val="22"/>
                <w:u w:val="none" w:color="auto"/>
              </w:rPr>
              <w:t>20</w:t>
            </w:r>
          </w:p>
        </w:tc>
        <w:tc>
          <w:tcPr>
            <w:tcW w:w="919" w:type="dxa"/>
            <w:vMerge w:val="continue"/>
            <w:tcBorders>
              <w:top w:val="nil"/>
              <w:left w:val="single" w:color="000000" w:sz="8" w:space="0"/>
              <w:bottom w:val="nil"/>
            </w:tcBorders>
            <w:vAlign w:val="top"/>
          </w:tcPr>
          <w:p>
            <w:pPr>
              <w:rPr>
                <w:rFonts w:ascii="Arial"/>
                <w:sz w:val="21"/>
                <w:u w:val="none" w:color="auto"/>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7" w:hRule="atLeast"/>
        </w:trPr>
        <w:tc>
          <w:tcPr>
            <w:tcW w:w="1787" w:type="dxa"/>
            <w:gridSpan w:val="2"/>
            <w:vAlign w:val="center"/>
          </w:tcPr>
          <w:p>
            <w:pPr>
              <w:pStyle w:val="20"/>
              <w:spacing w:before="257" w:line="216" w:lineRule="auto"/>
              <w:ind w:left="38"/>
              <w:jc w:val="both"/>
              <w:rPr>
                <w:sz w:val="22"/>
                <w:szCs w:val="22"/>
                <w:u w:val="none" w:color="auto"/>
              </w:rPr>
            </w:pPr>
            <w:r>
              <w:rPr>
                <w:spacing w:val="-1"/>
                <w:sz w:val="22"/>
                <w:szCs w:val="22"/>
                <w:u w:val="none" w:color="auto"/>
              </w:rPr>
              <w:t>保密柜</w:t>
            </w:r>
          </w:p>
        </w:tc>
        <w:tc>
          <w:tcPr>
            <w:tcW w:w="3870" w:type="dxa"/>
            <w:vAlign w:val="top"/>
          </w:tcPr>
          <w:p>
            <w:pPr>
              <w:pStyle w:val="20"/>
              <w:spacing w:before="257" w:line="216" w:lineRule="auto"/>
              <w:ind w:left="23"/>
              <w:rPr>
                <w:sz w:val="22"/>
                <w:szCs w:val="22"/>
                <w:u w:val="none" w:color="auto"/>
              </w:rPr>
            </w:pPr>
            <w:r>
              <w:rPr>
                <w:sz w:val="22"/>
                <w:szCs w:val="22"/>
                <w:u w:val="none" w:color="auto"/>
              </w:rPr>
              <w:t>根据保密规定和工作需要合理配置</w:t>
            </w:r>
          </w:p>
        </w:tc>
        <w:tc>
          <w:tcPr>
            <w:tcW w:w="1804" w:type="dxa"/>
            <w:vAlign w:val="top"/>
          </w:tcPr>
          <w:p>
            <w:pPr>
              <w:pStyle w:val="20"/>
              <w:spacing w:before="285" w:line="182" w:lineRule="auto"/>
              <w:ind w:left="58"/>
              <w:rPr>
                <w:sz w:val="22"/>
                <w:szCs w:val="22"/>
                <w:u w:val="none" w:color="auto"/>
              </w:rPr>
            </w:pPr>
            <w:r>
              <w:rPr>
                <w:spacing w:val="-5"/>
                <w:sz w:val="22"/>
                <w:szCs w:val="22"/>
                <w:u w:val="none" w:color="auto"/>
              </w:rPr>
              <w:t>3000</w:t>
            </w:r>
          </w:p>
        </w:tc>
        <w:tc>
          <w:tcPr>
            <w:tcW w:w="880" w:type="dxa"/>
            <w:tcBorders>
              <w:right w:val="single" w:color="000000" w:sz="8" w:space="0"/>
            </w:tcBorders>
            <w:vAlign w:val="top"/>
          </w:tcPr>
          <w:p>
            <w:pPr>
              <w:pStyle w:val="20"/>
              <w:spacing w:before="285" w:line="182" w:lineRule="auto"/>
              <w:ind w:left="360"/>
              <w:rPr>
                <w:sz w:val="22"/>
                <w:szCs w:val="22"/>
                <w:u w:val="none" w:color="auto"/>
              </w:rPr>
            </w:pPr>
            <w:r>
              <w:rPr>
                <w:spacing w:val="-5"/>
                <w:sz w:val="22"/>
                <w:szCs w:val="22"/>
                <w:u w:val="none" w:color="auto"/>
              </w:rPr>
              <w:t>20</w:t>
            </w:r>
          </w:p>
        </w:tc>
        <w:tc>
          <w:tcPr>
            <w:tcW w:w="919" w:type="dxa"/>
            <w:vMerge w:val="continue"/>
            <w:tcBorders>
              <w:top w:val="nil"/>
              <w:left w:val="single" w:color="000000" w:sz="8" w:space="0"/>
              <w:bottom w:val="nil"/>
            </w:tcBorders>
            <w:vAlign w:val="top"/>
          </w:tcPr>
          <w:p>
            <w:pPr>
              <w:rPr>
                <w:rFonts w:ascii="Arial"/>
                <w:sz w:val="21"/>
                <w:u w:val="none" w:color="auto"/>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8" w:hRule="atLeast"/>
        </w:trPr>
        <w:tc>
          <w:tcPr>
            <w:tcW w:w="1001" w:type="dxa"/>
            <w:vMerge w:val="restart"/>
            <w:tcBorders>
              <w:bottom w:val="nil"/>
            </w:tcBorders>
            <w:vAlign w:val="center"/>
          </w:tcPr>
          <w:p>
            <w:pPr>
              <w:spacing w:line="375" w:lineRule="auto"/>
              <w:jc w:val="both"/>
              <w:rPr>
                <w:rFonts w:ascii="Arial"/>
                <w:sz w:val="21"/>
                <w:u w:val="none" w:color="auto"/>
              </w:rPr>
            </w:pPr>
          </w:p>
          <w:p>
            <w:pPr>
              <w:pStyle w:val="20"/>
              <w:spacing w:before="72" w:line="224" w:lineRule="auto"/>
              <w:ind w:left="48" w:right="69" w:hanging="3"/>
              <w:jc w:val="both"/>
              <w:rPr>
                <w:sz w:val="22"/>
                <w:szCs w:val="22"/>
                <w:u w:val="none" w:color="auto"/>
              </w:rPr>
            </w:pPr>
            <w:r>
              <w:rPr>
                <w:spacing w:val="-3"/>
                <w:sz w:val="22"/>
                <w:szCs w:val="22"/>
                <w:u w:val="none" w:color="auto"/>
              </w:rPr>
              <w:t>会议室家</w:t>
            </w:r>
            <w:r>
              <w:rPr>
                <w:spacing w:val="2"/>
                <w:sz w:val="22"/>
                <w:szCs w:val="22"/>
                <w:u w:val="none" w:color="auto"/>
              </w:rPr>
              <w:t xml:space="preserve"> </w:t>
            </w:r>
            <w:r>
              <w:rPr>
                <w:sz w:val="22"/>
                <w:szCs w:val="22"/>
                <w:u w:val="none" w:color="auto"/>
              </w:rPr>
              <w:t>具</w:t>
            </w:r>
          </w:p>
        </w:tc>
        <w:tc>
          <w:tcPr>
            <w:tcW w:w="786" w:type="dxa"/>
            <w:tcBorders>
              <w:bottom w:val="single" w:color="000000" w:sz="8" w:space="0"/>
            </w:tcBorders>
            <w:vAlign w:val="center"/>
          </w:tcPr>
          <w:p>
            <w:pPr>
              <w:pStyle w:val="20"/>
              <w:spacing w:before="255" w:line="218" w:lineRule="auto"/>
              <w:ind w:left="35"/>
              <w:jc w:val="both"/>
              <w:rPr>
                <w:sz w:val="22"/>
                <w:szCs w:val="22"/>
                <w:u w:val="none" w:color="auto"/>
              </w:rPr>
            </w:pPr>
            <w:r>
              <w:rPr>
                <w:spacing w:val="-3"/>
                <w:sz w:val="22"/>
                <w:szCs w:val="22"/>
                <w:u w:val="none" w:color="auto"/>
              </w:rPr>
              <w:t>会议桌</w:t>
            </w:r>
          </w:p>
        </w:tc>
        <w:tc>
          <w:tcPr>
            <w:tcW w:w="3870" w:type="dxa"/>
            <w:tcBorders>
              <w:bottom w:val="single" w:color="000000" w:sz="8" w:space="0"/>
            </w:tcBorders>
            <w:vAlign w:val="top"/>
          </w:tcPr>
          <w:p>
            <w:pPr>
              <w:pStyle w:val="20"/>
              <w:spacing w:before="255" w:line="218" w:lineRule="auto"/>
              <w:ind w:left="26"/>
              <w:rPr>
                <w:sz w:val="22"/>
                <w:szCs w:val="22"/>
                <w:u w:val="none" w:color="auto"/>
              </w:rPr>
            </w:pPr>
            <w:r>
              <w:rPr>
                <w:sz w:val="22"/>
                <w:szCs w:val="22"/>
                <w:u w:val="none" w:color="auto"/>
              </w:rPr>
              <w:t>按照会议室使用面积合理配置</w:t>
            </w:r>
          </w:p>
        </w:tc>
        <w:tc>
          <w:tcPr>
            <w:tcW w:w="1804" w:type="dxa"/>
            <w:tcBorders>
              <w:bottom w:val="single" w:color="000000" w:sz="8" w:space="0"/>
            </w:tcBorders>
            <w:vAlign w:val="top"/>
          </w:tcPr>
          <w:p>
            <w:pPr>
              <w:pStyle w:val="20"/>
              <w:spacing w:before="255" w:line="218" w:lineRule="auto"/>
              <w:ind w:left="51"/>
              <w:rPr>
                <w:sz w:val="22"/>
                <w:szCs w:val="22"/>
                <w:u w:val="none" w:color="auto"/>
              </w:rPr>
            </w:pPr>
            <w:r>
              <w:rPr>
                <w:spacing w:val="-2"/>
                <w:sz w:val="22"/>
                <w:szCs w:val="22"/>
                <w:u w:val="none" w:color="auto"/>
              </w:rPr>
              <w:t>600元/平方米</w:t>
            </w:r>
          </w:p>
        </w:tc>
        <w:tc>
          <w:tcPr>
            <w:tcW w:w="880" w:type="dxa"/>
            <w:tcBorders>
              <w:bottom w:val="single" w:color="000000" w:sz="8" w:space="0"/>
              <w:right w:val="single" w:color="000000" w:sz="8" w:space="0"/>
            </w:tcBorders>
            <w:vAlign w:val="top"/>
          </w:tcPr>
          <w:p>
            <w:pPr>
              <w:pStyle w:val="20"/>
              <w:spacing w:before="283" w:line="182" w:lineRule="auto"/>
              <w:ind w:left="360"/>
              <w:rPr>
                <w:sz w:val="22"/>
                <w:szCs w:val="22"/>
                <w:u w:val="none" w:color="auto"/>
              </w:rPr>
            </w:pPr>
            <w:r>
              <w:rPr>
                <w:spacing w:val="-5"/>
                <w:sz w:val="22"/>
                <w:szCs w:val="22"/>
                <w:u w:val="none" w:color="auto"/>
              </w:rPr>
              <w:t>20</w:t>
            </w:r>
          </w:p>
        </w:tc>
        <w:tc>
          <w:tcPr>
            <w:tcW w:w="919" w:type="dxa"/>
            <w:vMerge w:val="continue"/>
            <w:tcBorders>
              <w:top w:val="nil"/>
              <w:left w:val="single" w:color="000000" w:sz="8" w:space="0"/>
              <w:bottom w:val="nil"/>
            </w:tcBorders>
            <w:vAlign w:val="top"/>
          </w:tcPr>
          <w:p>
            <w:pPr>
              <w:rPr>
                <w:rFonts w:ascii="Arial"/>
                <w:sz w:val="21"/>
                <w:u w:val="none" w:color="auto"/>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2" w:hRule="atLeast"/>
        </w:trPr>
        <w:tc>
          <w:tcPr>
            <w:tcW w:w="1001" w:type="dxa"/>
            <w:vMerge w:val="continue"/>
            <w:tcBorders>
              <w:top w:val="nil"/>
              <w:bottom w:val="single" w:color="000000" w:sz="8" w:space="0"/>
            </w:tcBorders>
            <w:vAlign w:val="center"/>
          </w:tcPr>
          <w:p>
            <w:pPr>
              <w:jc w:val="both"/>
              <w:rPr>
                <w:rFonts w:ascii="Arial"/>
                <w:sz w:val="21"/>
                <w:u w:val="none" w:color="auto"/>
              </w:rPr>
            </w:pPr>
          </w:p>
        </w:tc>
        <w:tc>
          <w:tcPr>
            <w:tcW w:w="786" w:type="dxa"/>
            <w:tcBorders>
              <w:top w:val="single" w:color="000000" w:sz="8" w:space="0"/>
              <w:bottom w:val="single" w:color="000000" w:sz="8" w:space="0"/>
            </w:tcBorders>
            <w:vAlign w:val="center"/>
          </w:tcPr>
          <w:p>
            <w:pPr>
              <w:pStyle w:val="20"/>
              <w:spacing w:before="247" w:line="218" w:lineRule="auto"/>
              <w:ind w:left="35"/>
              <w:jc w:val="both"/>
              <w:rPr>
                <w:sz w:val="22"/>
                <w:szCs w:val="22"/>
                <w:u w:val="none" w:color="auto"/>
              </w:rPr>
            </w:pPr>
            <w:r>
              <w:rPr>
                <w:spacing w:val="-3"/>
                <w:sz w:val="22"/>
                <w:szCs w:val="22"/>
                <w:u w:val="none" w:color="auto"/>
              </w:rPr>
              <w:t>会议椅</w:t>
            </w:r>
          </w:p>
        </w:tc>
        <w:tc>
          <w:tcPr>
            <w:tcW w:w="3870" w:type="dxa"/>
            <w:tcBorders>
              <w:top w:val="single" w:color="000000" w:sz="8" w:space="0"/>
              <w:bottom w:val="single" w:color="000000" w:sz="8" w:space="0"/>
            </w:tcBorders>
            <w:vAlign w:val="top"/>
          </w:tcPr>
          <w:p>
            <w:pPr>
              <w:pStyle w:val="20"/>
              <w:spacing w:before="247" w:line="218" w:lineRule="auto"/>
              <w:ind w:left="26"/>
              <w:rPr>
                <w:sz w:val="22"/>
                <w:szCs w:val="22"/>
                <w:u w:val="none" w:color="auto"/>
              </w:rPr>
            </w:pPr>
            <w:r>
              <w:rPr>
                <w:sz w:val="22"/>
                <w:szCs w:val="22"/>
                <w:u w:val="none" w:color="auto"/>
              </w:rPr>
              <w:t>按照会议室使用面积合理配置</w:t>
            </w:r>
          </w:p>
        </w:tc>
        <w:tc>
          <w:tcPr>
            <w:tcW w:w="1804" w:type="dxa"/>
            <w:tcBorders>
              <w:top w:val="single" w:color="000000" w:sz="8" w:space="0"/>
              <w:bottom w:val="single" w:color="000000" w:sz="8" w:space="0"/>
            </w:tcBorders>
            <w:vAlign w:val="top"/>
          </w:tcPr>
          <w:p>
            <w:pPr>
              <w:pStyle w:val="20"/>
              <w:spacing w:before="247" w:line="220" w:lineRule="auto"/>
              <w:ind w:left="51"/>
              <w:rPr>
                <w:sz w:val="22"/>
                <w:szCs w:val="22"/>
                <w:u w:val="none" w:color="auto"/>
              </w:rPr>
            </w:pPr>
            <w:r>
              <w:rPr>
                <w:spacing w:val="-3"/>
                <w:sz w:val="22"/>
                <w:szCs w:val="22"/>
                <w:u w:val="none" w:color="auto"/>
              </w:rPr>
              <w:t>600元/把</w:t>
            </w:r>
          </w:p>
        </w:tc>
        <w:tc>
          <w:tcPr>
            <w:tcW w:w="880" w:type="dxa"/>
            <w:tcBorders>
              <w:top w:val="single" w:color="000000" w:sz="8" w:space="0"/>
              <w:bottom w:val="single" w:color="000000" w:sz="8" w:space="0"/>
              <w:right w:val="single" w:color="000000" w:sz="8" w:space="0"/>
            </w:tcBorders>
            <w:vAlign w:val="top"/>
          </w:tcPr>
          <w:p>
            <w:pPr>
              <w:pStyle w:val="20"/>
              <w:spacing w:before="275" w:line="182" w:lineRule="auto"/>
              <w:ind w:left="365"/>
              <w:rPr>
                <w:sz w:val="22"/>
                <w:szCs w:val="22"/>
                <w:u w:val="none" w:color="auto"/>
              </w:rPr>
            </w:pPr>
            <w:r>
              <w:rPr>
                <w:spacing w:val="-6"/>
                <w:sz w:val="22"/>
                <w:szCs w:val="22"/>
                <w:u w:val="none" w:color="auto"/>
              </w:rPr>
              <w:t>15</w:t>
            </w:r>
          </w:p>
        </w:tc>
        <w:tc>
          <w:tcPr>
            <w:tcW w:w="919" w:type="dxa"/>
            <w:vMerge w:val="continue"/>
            <w:tcBorders>
              <w:top w:val="nil"/>
              <w:left w:val="single" w:color="000000" w:sz="8" w:space="0"/>
              <w:bottom w:val="nil"/>
            </w:tcBorders>
            <w:vAlign w:val="top"/>
          </w:tcPr>
          <w:p>
            <w:pPr>
              <w:rPr>
                <w:rFonts w:ascii="Arial"/>
                <w:sz w:val="21"/>
                <w:u w:val="none" w:color="auto"/>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91" w:hRule="atLeast"/>
        </w:trPr>
        <w:tc>
          <w:tcPr>
            <w:tcW w:w="1787" w:type="dxa"/>
            <w:gridSpan w:val="2"/>
            <w:tcBorders>
              <w:top w:val="single" w:color="000000" w:sz="8" w:space="0"/>
            </w:tcBorders>
            <w:vAlign w:val="center"/>
          </w:tcPr>
          <w:p>
            <w:pPr>
              <w:spacing w:line="247" w:lineRule="auto"/>
              <w:jc w:val="both"/>
              <w:rPr>
                <w:rFonts w:ascii="Arial"/>
                <w:sz w:val="21"/>
                <w:u w:val="none" w:color="auto"/>
              </w:rPr>
            </w:pPr>
          </w:p>
          <w:p>
            <w:pPr>
              <w:pStyle w:val="20"/>
              <w:spacing w:before="71" w:line="217" w:lineRule="auto"/>
              <w:ind w:left="41"/>
              <w:jc w:val="both"/>
              <w:rPr>
                <w:sz w:val="22"/>
                <w:szCs w:val="22"/>
                <w:u w:val="none" w:color="auto"/>
              </w:rPr>
            </w:pPr>
            <w:r>
              <w:rPr>
                <w:spacing w:val="-1"/>
                <w:sz w:val="22"/>
                <w:szCs w:val="22"/>
                <w:u w:val="none" w:color="auto"/>
              </w:rPr>
              <w:t>接待室家具</w:t>
            </w:r>
          </w:p>
        </w:tc>
        <w:tc>
          <w:tcPr>
            <w:tcW w:w="3870" w:type="dxa"/>
            <w:tcBorders>
              <w:top w:val="single" w:color="000000" w:sz="8" w:space="0"/>
            </w:tcBorders>
            <w:vAlign w:val="top"/>
          </w:tcPr>
          <w:p>
            <w:pPr>
              <w:spacing w:line="247" w:lineRule="auto"/>
              <w:rPr>
                <w:rFonts w:ascii="Arial"/>
                <w:sz w:val="21"/>
                <w:u w:val="none" w:color="auto"/>
              </w:rPr>
            </w:pPr>
          </w:p>
          <w:p>
            <w:pPr>
              <w:pStyle w:val="20"/>
              <w:spacing w:before="71" w:line="217" w:lineRule="auto"/>
              <w:ind w:left="26"/>
              <w:rPr>
                <w:sz w:val="22"/>
                <w:szCs w:val="22"/>
                <w:u w:val="none" w:color="auto"/>
              </w:rPr>
            </w:pPr>
            <w:r>
              <w:rPr>
                <w:sz w:val="22"/>
                <w:szCs w:val="22"/>
                <w:u w:val="none" w:color="auto"/>
              </w:rPr>
              <w:t>按照接待室使用面积合理配置</w:t>
            </w:r>
          </w:p>
        </w:tc>
        <w:tc>
          <w:tcPr>
            <w:tcW w:w="1804" w:type="dxa"/>
            <w:tcBorders>
              <w:top w:val="single" w:color="000000" w:sz="8" w:space="0"/>
            </w:tcBorders>
            <w:vAlign w:val="top"/>
          </w:tcPr>
          <w:p>
            <w:pPr>
              <w:spacing w:line="246" w:lineRule="auto"/>
              <w:rPr>
                <w:rFonts w:ascii="Arial"/>
                <w:sz w:val="21"/>
                <w:u w:val="none" w:color="auto"/>
              </w:rPr>
            </w:pPr>
          </w:p>
          <w:p>
            <w:pPr>
              <w:pStyle w:val="20"/>
              <w:spacing w:before="72" w:line="218" w:lineRule="auto"/>
              <w:ind w:left="51"/>
              <w:rPr>
                <w:sz w:val="22"/>
                <w:szCs w:val="22"/>
                <w:u w:val="none" w:color="auto"/>
              </w:rPr>
            </w:pPr>
            <w:r>
              <w:rPr>
                <w:spacing w:val="-2"/>
                <w:sz w:val="22"/>
                <w:szCs w:val="22"/>
                <w:u w:val="none" w:color="auto"/>
              </w:rPr>
              <w:t>700元/平方米</w:t>
            </w:r>
          </w:p>
        </w:tc>
        <w:tc>
          <w:tcPr>
            <w:tcW w:w="880" w:type="dxa"/>
            <w:tcBorders>
              <w:top w:val="single" w:color="000000" w:sz="8" w:space="0"/>
              <w:right w:val="single" w:color="000000" w:sz="8" w:space="0"/>
            </w:tcBorders>
            <w:vAlign w:val="top"/>
          </w:tcPr>
          <w:p>
            <w:pPr>
              <w:spacing w:line="274" w:lineRule="auto"/>
              <w:rPr>
                <w:rFonts w:ascii="Arial"/>
                <w:sz w:val="21"/>
                <w:u w:val="none" w:color="auto"/>
              </w:rPr>
            </w:pPr>
          </w:p>
          <w:p>
            <w:pPr>
              <w:pStyle w:val="20"/>
              <w:spacing w:before="72" w:line="182" w:lineRule="auto"/>
              <w:ind w:left="365"/>
              <w:rPr>
                <w:sz w:val="22"/>
                <w:szCs w:val="22"/>
                <w:u w:val="none" w:color="auto"/>
              </w:rPr>
            </w:pPr>
            <w:r>
              <w:rPr>
                <w:spacing w:val="-6"/>
                <w:sz w:val="22"/>
                <w:szCs w:val="22"/>
                <w:u w:val="none" w:color="auto"/>
              </w:rPr>
              <w:t>10</w:t>
            </w:r>
          </w:p>
        </w:tc>
        <w:tc>
          <w:tcPr>
            <w:tcW w:w="919" w:type="dxa"/>
            <w:vMerge w:val="continue"/>
            <w:tcBorders>
              <w:top w:val="nil"/>
              <w:left w:val="single" w:color="000000" w:sz="8" w:space="0"/>
            </w:tcBorders>
            <w:vAlign w:val="top"/>
          </w:tcPr>
          <w:p>
            <w:pPr>
              <w:rPr>
                <w:rFonts w:ascii="Arial"/>
                <w:sz w:val="21"/>
                <w:u w:val="none" w:color="auto"/>
              </w:rPr>
            </w:pPr>
          </w:p>
        </w:tc>
      </w:tr>
    </w:tbl>
    <w:p>
      <w:pPr>
        <w:spacing w:line="251" w:lineRule="auto"/>
        <w:rPr>
          <w:rFonts w:ascii="Arial"/>
          <w:sz w:val="21"/>
          <w:u w:val="none" w:color="auto"/>
        </w:rPr>
      </w:pPr>
    </w:p>
    <w:p>
      <w:pPr>
        <w:spacing w:before="72" w:line="221" w:lineRule="auto"/>
        <w:ind w:left="604" w:right="1686" w:hanging="545"/>
        <w:rPr>
          <w:rFonts w:ascii="仿宋" w:hAnsi="仿宋" w:eastAsia="仿宋" w:cs="仿宋"/>
          <w:sz w:val="22"/>
          <w:szCs w:val="22"/>
          <w:u w:val="none" w:color="auto"/>
        </w:rPr>
      </w:pPr>
      <w:r>
        <w:rPr>
          <w:rFonts w:ascii="仿宋" w:hAnsi="仿宋" w:eastAsia="仿宋" w:cs="仿宋"/>
          <w:spacing w:val="-2"/>
          <w:sz w:val="22"/>
          <w:szCs w:val="22"/>
          <w:u w:val="none" w:color="auto"/>
        </w:rPr>
        <w:t>备注 1.配置具有组合功能的办公家具，价格不得高于各单项资产的价格之和。</w:t>
      </w:r>
      <w:r>
        <w:rPr>
          <w:rFonts w:ascii="仿宋" w:hAnsi="仿宋" w:eastAsia="仿宋" w:cs="仿宋"/>
          <w:spacing w:val="10"/>
          <w:sz w:val="22"/>
          <w:szCs w:val="22"/>
          <w:u w:val="none" w:color="auto"/>
        </w:rPr>
        <w:t xml:space="preserve"> </w:t>
      </w:r>
      <w:r>
        <w:rPr>
          <w:rFonts w:ascii="仿宋" w:hAnsi="仿宋" w:eastAsia="仿宋" w:cs="仿宋"/>
          <w:sz w:val="22"/>
          <w:szCs w:val="22"/>
          <w:u w:val="none" w:color="auto"/>
        </w:rPr>
        <w:t>2.价格上限中的价格指单件家具的价格。</w:t>
      </w:r>
    </w:p>
    <w:p>
      <w:pPr>
        <w:spacing w:line="221" w:lineRule="auto"/>
        <w:rPr>
          <w:rFonts w:ascii="仿宋" w:hAnsi="仿宋" w:eastAsia="仿宋" w:cs="仿宋"/>
          <w:sz w:val="22"/>
          <w:szCs w:val="22"/>
          <w:u w:val="none" w:color="auto"/>
        </w:rPr>
        <w:sectPr>
          <w:footerReference r:id="rId4" w:type="default"/>
          <w:pgSz w:w="11915" w:h="16851"/>
          <w:pgMar w:top="1082" w:right="1651" w:bottom="1220" w:left="986" w:header="0" w:footer="941" w:gutter="0"/>
          <w:pgNumType w:fmt="numberInDash"/>
          <w:cols w:space="720" w:num="1"/>
        </w:sectPr>
      </w:pPr>
    </w:p>
    <w:p>
      <w:pPr>
        <w:widowControl/>
        <w:spacing w:line="580" w:lineRule="atLeast"/>
        <w:jc w:val="left"/>
        <w:outlineLvl w:val="0"/>
        <w:rPr>
          <w:rFonts w:hint="default" w:ascii="黑体" w:hAnsi="黑体" w:eastAsia="黑体" w:cs="黑体"/>
          <w:color w:val="000000"/>
          <w:kern w:val="0"/>
          <w:sz w:val="32"/>
          <w:szCs w:val="32"/>
          <w:u w:val="none" w:color="auto"/>
          <w:lang w:eastAsia="zh-CN"/>
        </w:rPr>
      </w:pPr>
      <w:r>
        <w:rPr>
          <w:rFonts w:hint="eastAsia" w:ascii="黑体" w:hAnsi="黑体" w:eastAsia="黑体" w:cs="黑体"/>
          <w:color w:val="000000"/>
          <w:kern w:val="0"/>
          <w:sz w:val="32"/>
          <w:szCs w:val="32"/>
          <w:u w:val="none" w:color="auto"/>
        </w:rPr>
        <w:t>附件</w:t>
      </w:r>
      <w:r>
        <w:rPr>
          <w:rFonts w:hint="eastAsia" w:ascii="黑体" w:hAnsi="黑体" w:eastAsia="黑体" w:cs="黑体"/>
          <w:color w:val="000000"/>
          <w:kern w:val="0"/>
          <w:sz w:val="32"/>
          <w:szCs w:val="32"/>
          <w:u w:val="none" w:color="auto"/>
          <w:lang w:val="en-US" w:eastAsia="zh-CN"/>
        </w:rPr>
        <w:t>3:</w:t>
      </w:r>
    </w:p>
    <w:p>
      <w:pPr>
        <w:widowControl/>
        <w:spacing w:line="580" w:lineRule="atLeast"/>
        <w:jc w:val="center"/>
        <w:rPr>
          <w:rFonts w:hint="eastAsia" w:ascii="方正小标宋简体" w:hAnsi="方正小标宋简体" w:eastAsia="方正小标宋简体" w:cs="方正小标宋简体"/>
          <w:b w:val="0"/>
          <w:bCs w:val="0"/>
          <w:spacing w:val="20"/>
          <w:kern w:val="0"/>
          <w:sz w:val="44"/>
          <w:szCs w:val="44"/>
          <w:u w:val="none" w:color="auto"/>
        </w:rPr>
      </w:pPr>
      <w:r>
        <w:rPr>
          <w:rFonts w:hint="eastAsia" w:ascii="方正小标宋简体" w:hAnsi="方正小标宋简体" w:eastAsia="方正小标宋简体" w:cs="方正小标宋简体"/>
          <w:b w:val="0"/>
          <w:bCs w:val="0"/>
          <w:spacing w:val="20"/>
          <w:kern w:val="0"/>
          <w:sz w:val="44"/>
          <w:szCs w:val="44"/>
          <w:u w:val="none" w:color="auto"/>
        </w:rPr>
        <w:t>江西工业贸易职业技术学院资产管理考核表</w:t>
      </w:r>
    </w:p>
    <w:tbl>
      <w:tblPr>
        <w:tblStyle w:val="7"/>
        <w:tblpPr w:leftFromText="180" w:rightFromText="180" w:vertAnchor="text" w:tblpXSpec="center" w:tblpY="1"/>
        <w:tblOverlap w:val="never"/>
        <w:tblW w:w="4988" w:type="pct"/>
        <w:jc w:val="center"/>
        <w:tblLayout w:type="autofit"/>
        <w:tblCellMar>
          <w:top w:w="0" w:type="dxa"/>
          <w:left w:w="0" w:type="dxa"/>
          <w:bottom w:w="0" w:type="dxa"/>
          <w:right w:w="0" w:type="dxa"/>
        </w:tblCellMar>
      </w:tblPr>
      <w:tblGrid>
        <w:gridCol w:w="1281"/>
        <w:gridCol w:w="1697"/>
        <w:gridCol w:w="4603"/>
        <w:gridCol w:w="5556"/>
        <w:gridCol w:w="1614"/>
      </w:tblGrid>
      <w:tr>
        <w:tblPrEx>
          <w:tblCellMar>
            <w:top w:w="0" w:type="dxa"/>
            <w:left w:w="0" w:type="dxa"/>
            <w:bottom w:w="0" w:type="dxa"/>
            <w:right w:w="0" w:type="dxa"/>
          </w:tblCellMar>
        </w:tblPrEx>
        <w:trPr>
          <w:trHeight w:val="681" w:hRule="atLeast"/>
          <w:tblHeader/>
          <w:jc w:val="center"/>
        </w:trPr>
        <w:tc>
          <w:tcPr>
            <w:tcW w:w="1009" w:type="pct"/>
            <w:gridSpan w:val="2"/>
            <w:tcBorders>
              <w:top w:val="single" w:color="000000" w:sz="4" w:space="0"/>
              <w:left w:val="single" w:color="000000" w:sz="4" w:space="0"/>
              <w:bottom w:val="single" w:color="000000" w:sz="4" w:space="0"/>
              <w:right w:val="single" w:color="000000" w:sz="4" w:space="0"/>
              <w:tl2br w:val="nil"/>
            </w:tcBorders>
            <w:shd w:val="clear" w:color="auto" w:fill="FFFFFF"/>
            <w:tcMar>
              <w:top w:w="0" w:type="dxa"/>
              <w:left w:w="108" w:type="dxa"/>
              <w:bottom w:w="0" w:type="dxa"/>
              <w:right w:w="108" w:type="dxa"/>
            </w:tcMar>
            <w:vAlign w:val="center"/>
          </w:tcPr>
          <w:p>
            <w:pPr>
              <w:widowControl/>
              <w:jc w:val="center"/>
              <w:rPr>
                <w:rFonts w:ascii="仿宋" w:hAnsi="仿宋" w:eastAsia="仿宋" w:cs="仿宋"/>
                <w:b/>
                <w:bCs w:val="0"/>
                <w:color w:val="000000"/>
                <w:kern w:val="0"/>
                <w:sz w:val="24"/>
                <w:szCs w:val="24"/>
                <w:u w:val="none" w:color="auto"/>
              </w:rPr>
            </w:pPr>
            <w:r>
              <w:rPr>
                <w:rFonts w:hint="eastAsia" w:ascii="仿宋" w:hAnsi="仿宋" w:eastAsia="仿宋" w:cs="仿宋"/>
                <w:b/>
                <w:bCs w:val="0"/>
                <w:color w:val="000000"/>
                <w:kern w:val="0"/>
                <w:sz w:val="24"/>
                <w:szCs w:val="24"/>
                <w:u w:val="none" w:color="auto"/>
              </w:rPr>
              <w:t>考核项目</w:t>
            </w:r>
          </w:p>
        </w:tc>
        <w:tc>
          <w:tcPr>
            <w:tcW w:w="1560" w:type="pct"/>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pPr>
              <w:widowControl/>
              <w:jc w:val="center"/>
              <w:rPr>
                <w:rFonts w:ascii="仿宋" w:hAnsi="仿宋" w:eastAsia="仿宋" w:cs="仿宋"/>
                <w:b/>
                <w:bCs w:val="0"/>
                <w:color w:val="000000"/>
                <w:kern w:val="0"/>
                <w:sz w:val="24"/>
                <w:szCs w:val="24"/>
                <w:u w:val="none" w:color="auto"/>
              </w:rPr>
            </w:pPr>
            <w:r>
              <w:rPr>
                <w:rFonts w:hint="eastAsia" w:ascii="仿宋" w:hAnsi="仿宋" w:eastAsia="仿宋" w:cs="仿宋"/>
                <w:b/>
                <w:bCs w:val="0"/>
                <w:color w:val="000000"/>
                <w:kern w:val="0"/>
                <w:sz w:val="24"/>
                <w:szCs w:val="24"/>
                <w:u w:val="none" w:color="auto"/>
              </w:rPr>
              <w:t>考核内容</w:t>
            </w:r>
          </w:p>
        </w:tc>
        <w:tc>
          <w:tcPr>
            <w:tcW w:w="1883" w:type="pct"/>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pPr>
              <w:widowControl/>
              <w:jc w:val="center"/>
              <w:rPr>
                <w:rFonts w:ascii="仿宋" w:hAnsi="仿宋" w:eastAsia="仿宋" w:cs="仿宋"/>
                <w:b/>
                <w:bCs w:val="0"/>
                <w:color w:val="000000"/>
                <w:kern w:val="0"/>
                <w:sz w:val="24"/>
                <w:szCs w:val="24"/>
                <w:u w:val="none" w:color="auto"/>
              </w:rPr>
            </w:pPr>
            <w:r>
              <w:rPr>
                <w:rFonts w:hint="eastAsia" w:ascii="仿宋" w:hAnsi="仿宋" w:eastAsia="仿宋" w:cs="仿宋"/>
                <w:b/>
                <w:bCs w:val="0"/>
                <w:color w:val="000000"/>
                <w:kern w:val="0"/>
                <w:sz w:val="24"/>
                <w:szCs w:val="24"/>
                <w:u w:val="none" w:color="auto"/>
              </w:rPr>
              <w:t>扣分标准</w:t>
            </w:r>
          </w:p>
        </w:tc>
        <w:tc>
          <w:tcPr>
            <w:tcW w:w="547" w:type="pct"/>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pPr>
              <w:widowControl/>
              <w:jc w:val="center"/>
              <w:rPr>
                <w:rFonts w:ascii="仿宋" w:hAnsi="仿宋" w:eastAsia="仿宋" w:cs="仿宋"/>
                <w:b/>
                <w:bCs w:val="0"/>
                <w:color w:val="000000"/>
                <w:kern w:val="0"/>
                <w:sz w:val="24"/>
                <w:szCs w:val="24"/>
                <w:u w:val="none" w:color="auto"/>
              </w:rPr>
            </w:pPr>
            <w:r>
              <w:rPr>
                <w:rFonts w:hint="eastAsia" w:ascii="仿宋" w:hAnsi="仿宋" w:eastAsia="仿宋" w:cs="仿宋"/>
                <w:b/>
                <w:bCs w:val="0"/>
                <w:color w:val="000000"/>
                <w:kern w:val="0"/>
                <w:sz w:val="24"/>
                <w:szCs w:val="24"/>
                <w:u w:val="none" w:color="auto"/>
              </w:rPr>
              <w:t>考核扣分</w:t>
            </w:r>
          </w:p>
        </w:tc>
      </w:tr>
      <w:tr>
        <w:tblPrEx>
          <w:tblCellMar>
            <w:top w:w="0" w:type="dxa"/>
            <w:left w:w="0" w:type="dxa"/>
            <w:bottom w:w="0" w:type="dxa"/>
            <w:right w:w="0" w:type="dxa"/>
          </w:tblCellMar>
        </w:tblPrEx>
        <w:trPr>
          <w:jc w:val="center"/>
        </w:trPr>
        <w:tc>
          <w:tcPr>
            <w:tcW w:w="434" w:type="pct"/>
            <w:vMerge w:val="restart"/>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pPr>
              <w:widowControl/>
              <w:jc w:val="center"/>
              <w:rPr>
                <w:rFonts w:hint="eastAsia" w:ascii="仿宋" w:hAnsi="仿宋" w:eastAsia="仿宋" w:cs="仿宋"/>
                <w:b w:val="0"/>
                <w:color w:val="000000"/>
                <w:kern w:val="0"/>
                <w:sz w:val="24"/>
                <w:szCs w:val="24"/>
                <w:u w:val="none" w:color="auto"/>
              </w:rPr>
            </w:pPr>
            <w:r>
              <w:rPr>
                <w:rFonts w:hint="eastAsia" w:ascii="仿宋" w:hAnsi="仿宋" w:eastAsia="仿宋" w:cs="仿宋"/>
                <w:b w:val="0"/>
                <w:color w:val="000000"/>
                <w:kern w:val="0"/>
                <w:sz w:val="24"/>
                <w:szCs w:val="24"/>
                <w:u w:val="none" w:color="auto"/>
              </w:rPr>
              <w:t>管理制度</w:t>
            </w:r>
          </w:p>
          <w:p>
            <w:pPr>
              <w:widowControl/>
              <w:jc w:val="center"/>
              <w:rPr>
                <w:rFonts w:ascii="仿宋" w:hAnsi="仿宋" w:eastAsia="仿宋" w:cs="仿宋"/>
                <w:b w:val="0"/>
                <w:color w:val="000000"/>
                <w:kern w:val="0"/>
                <w:sz w:val="24"/>
                <w:szCs w:val="24"/>
                <w:u w:val="none" w:color="auto"/>
              </w:rPr>
            </w:pPr>
            <w:r>
              <w:rPr>
                <w:rFonts w:hint="eastAsia" w:ascii="仿宋" w:hAnsi="仿宋" w:eastAsia="仿宋" w:cs="仿宋"/>
                <w:b w:val="0"/>
                <w:color w:val="000000"/>
                <w:kern w:val="0"/>
                <w:sz w:val="24"/>
                <w:szCs w:val="24"/>
                <w:u w:val="none" w:color="auto"/>
              </w:rPr>
              <w:t>(10分)</w:t>
            </w:r>
          </w:p>
        </w:tc>
        <w:tc>
          <w:tcPr>
            <w:tcW w:w="575" w:type="pct"/>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pPr>
              <w:widowControl/>
              <w:jc w:val="center"/>
              <w:rPr>
                <w:rFonts w:hint="eastAsia" w:ascii="仿宋" w:hAnsi="仿宋" w:eastAsia="仿宋" w:cs="仿宋"/>
                <w:b w:val="0"/>
                <w:color w:val="000000"/>
                <w:kern w:val="0"/>
                <w:sz w:val="24"/>
                <w:szCs w:val="24"/>
                <w:u w:val="none" w:color="auto"/>
              </w:rPr>
            </w:pPr>
            <w:r>
              <w:rPr>
                <w:rFonts w:hint="eastAsia" w:ascii="仿宋" w:hAnsi="仿宋" w:eastAsia="仿宋" w:cs="仿宋"/>
                <w:b w:val="0"/>
                <w:color w:val="000000"/>
                <w:kern w:val="0"/>
                <w:sz w:val="24"/>
                <w:szCs w:val="24"/>
                <w:u w:val="none" w:color="auto"/>
              </w:rPr>
              <w:t>制度建设</w:t>
            </w:r>
          </w:p>
          <w:p>
            <w:pPr>
              <w:widowControl/>
              <w:jc w:val="center"/>
              <w:rPr>
                <w:rFonts w:ascii="仿宋" w:hAnsi="仿宋" w:eastAsia="仿宋" w:cs="仿宋"/>
                <w:b w:val="0"/>
                <w:color w:val="000000"/>
                <w:kern w:val="0"/>
                <w:sz w:val="24"/>
                <w:szCs w:val="24"/>
                <w:u w:val="none" w:color="auto"/>
              </w:rPr>
            </w:pPr>
            <w:r>
              <w:rPr>
                <w:rFonts w:hint="eastAsia" w:ascii="仿宋" w:hAnsi="仿宋" w:eastAsia="仿宋" w:cs="仿宋"/>
                <w:b w:val="0"/>
                <w:color w:val="000000"/>
                <w:kern w:val="0"/>
                <w:sz w:val="24"/>
                <w:szCs w:val="24"/>
                <w:u w:val="none" w:color="auto"/>
              </w:rPr>
              <w:t>（5分）</w:t>
            </w:r>
          </w:p>
        </w:tc>
        <w:tc>
          <w:tcPr>
            <w:tcW w:w="1560" w:type="pct"/>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pPr>
              <w:widowControl/>
              <w:jc w:val="both"/>
              <w:rPr>
                <w:rFonts w:ascii="仿宋" w:hAnsi="仿宋" w:eastAsia="仿宋" w:cs="仿宋"/>
                <w:b w:val="0"/>
                <w:color w:val="000000"/>
                <w:kern w:val="0"/>
                <w:sz w:val="24"/>
                <w:szCs w:val="24"/>
                <w:u w:val="none" w:color="auto"/>
              </w:rPr>
            </w:pPr>
            <w:r>
              <w:rPr>
                <w:rFonts w:hint="eastAsia" w:ascii="仿宋" w:hAnsi="仿宋" w:eastAsia="仿宋" w:cs="仿宋"/>
                <w:b w:val="0"/>
                <w:color w:val="000000"/>
                <w:kern w:val="0"/>
                <w:sz w:val="24"/>
                <w:szCs w:val="24"/>
                <w:u w:val="none" w:color="auto"/>
                <w:lang w:val="en-US" w:eastAsia="zh-CN"/>
              </w:rPr>
              <w:t>1.</w:t>
            </w:r>
            <w:r>
              <w:rPr>
                <w:rFonts w:hint="eastAsia" w:ascii="仿宋" w:hAnsi="仿宋" w:eastAsia="仿宋" w:cs="仿宋"/>
                <w:b w:val="0"/>
                <w:color w:val="000000"/>
                <w:kern w:val="0"/>
                <w:sz w:val="24"/>
                <w:szCs w:val="24"/>
                <w:u w:val="none" w:color="auto"/>
              </w:rPr>
              <w:t>根据学院</w:t>
            </w:r>
            <w:r>
              <w:rPr>
                <w:rFonts w:hint="eastAsia" w:ascii="仿宋" w:hAnsi="仿宋" w:eastAsia="仿宋" w:cs="仿宋"/>
                <w:b w:val="0"/>
                <w:color w:val="000000"/>
                <w:kern w:val="0"/>
                <w:sz w:val="24"/>
                <w:szCs w:val="24"/>
                <w:u w:val="none" w:color="auto"/>
                <w:lang w:eastAsia="zh-CN"/>
              </w:rPr>
              <w:t>国有</w:t>
            </w:r>
            <w:r>
              <w:rPr>
                <w:rFonts w:hint="eastAsia" w:ascii="仿宋" w:hAnsi="仿宋" w:eastAsia="仿宋" w:cs="仿宋"/>
                <w:b w:val="0"/>
                <w:color w:val="000000"/>
                <w:kern w:val="0"/>
                <w:sz w:val="24"/>
                <w:szCs w:val="24"/>
                <w:u w:val="none" w:color="auto"/>
              </w:rPr>
              <w:t>资产管理办法，结合部门实际情况，制定部门</w:t>
            </w:r>
            <w:r>
              <w:rPr>
                <w:rFonts w:hint="eastAsia" w:ascii="仿宋" w:hAnsi="仿宋" w:eastAsia="仿宋" w:cs="仿宋"/>
                <w:b w:val="0"/>
                <w:color w:val="000000"/>
                <w:kern w:val="0"/>
                <w:sz w:val="24"/>
                <w:szCs w:val="24"/>
                <w:u w:val="none" w:color="auto"/>
                <w:lang w:eastAsia="zh-CN"/>
              </w:rPr>
              <w:t>国有</w:t>
            </w:r>
            <w:r>
              <w:rPr>
                <w:rFonts w:hint="eastAsia" w:ascii="仿宋" w:hAnsi="仿宋" w:eastAsia="仿宋" w:cs="仿宋"/>
                <w:b w:val="0"/>
                <w:color w:val="000000"/>
                <w:kern w:val="0"/>
                <w:sz w:val="24"/>
                <w:szCs w:val="24"/>
                <w:u w:val="none" w:color="auto"/>
              </w:rPr>
              <w:t>资产管理实施细则并报学院</w:t>
            </w:r>
            <w:r>
              <w:rPr>
                <w:rFonts w:hint="eastAsia" w:ascii="仿宋" w:hAnsi="仿宋" w:eastAsia="仿宋" w:cs="仿宋"/>
                <w:b w:val="0"/>
                <w:color w:val="000000"/>
                <w:kern w:val="0"/>
                <w:sz w:val="24"/>
                <w:szCs w:val="24"/>
                <w:u w:val="none" w:color="auto"/>
                <w:lang w:eastAsia="zh-CN"/>
              </w:rPr>
              <w:t>资产管理处</w:t>
            </w:r>
            <w:r>
              <w:rPr>
                <w:rFonts w:hint="eastAsia" w:ascii="仿宋" w:hAnsi="仿宋" w:eastAsia="仿宋" w:cs="仿宋"/>
                <w:b w:val="0"/>
                <w:color w:val="000000"/>
                <w:kern w:val="0"/>
                <w:sz w:val="24"/>
                <w:szCs w:val="24"/>
                <w:u w:val="none" w:color="auto"/>
              </w:rPr>
              <w:t>备案。</w:t>
            </w:r>
          </w:p>
          <w:p>
            <w:pPr>
              <w:widowControl/>
              <w:jc w:val="both"/>
              <w:rPr>
                <w:rFonts w:ascii="仿宋" w:hAnsi="仿宋" w:eastAsia="仿宋" w:cs="仿宋"/>
                <w:b w:val="0"/>
                <w:color w:val="000000"/>
                <w:kern w:val="0"/>
                <w:sz w:val="24"/>
                <w:szCs w:val="24"/>
                <w:u w:val="none" w:color="auto"/>
              </w:rPr>
            </w:pPr>
            <w:r>
              <w:rPr>
                <w:rFonts w:hint="eastAsia" w:ascii="仿宋" w:hAnsi="仿宋" w:eastAsia="仿宋" w:cs="仿宋"/>
                <w:b w:val="0"/>
                <w:color w:val="000000"/>
                <w:kern w:val="0"/>
                <w:sz w:val="24"/>
                <w:szCs w:val="24"/>
                <w:u w:val="none" w:color="auto"/>
                <w:lang w:val="en-US" w:eastAsia="zh-CN"/>
              </w:rPr>
              <w:t>2.</w:t>
            </w:r>
            <w:r>
              <w:rPr>
                <w:rFonts w:hint="eastAsia" w:ascii="仿宋" w:hAnsi="仿宋" w:eastAsia="仿宋" w:cs="仿宋"/>
                <w:b w:val="0"/>
                <w:color w:val="000000"/>
                <w:kern w:val="0"/>
                <w:sz w:val="24"/>
                <w:szCs w:val="24"/>
                <w:u w:val="none" w:color="auto"/>
              </w:rPr>
              <w:t>大型精密贵重设备有操作规程等专项管理制度。</w:t>
            </w:r>
          </w:p>
          <w:p>
            <w:pPr>
              <w:widowControl/>
              <w:jc w:val="both"/>
              <w:rPr>
                <w:rFonts w:ascii="仿宋" w:hAnsi="仿宋" w:eastAsia="仿宋" w:cs="仿宋"/>
                <w:b w:val="0"/>
                <w:color w:val="000000"/>
                <w:kern w:val="0"/>
                <w:sz w:val="24"/>
                <w:szCs w:val="24"/>
                <w:u w:val="none" w:color="auto"/>
              </w:rPr>
            </w:pPr>
            <w:r>
              <w:rPr>
                <w:rFonts w:hint="eastAsia" w:ascii="仿宋" w:hAnsi="仿宋" w:eastAsia="仿宋" w:cs="仿宋"/>
                <w:b w:val="0"/>
                <w:color w:val="000000"/>
                <w:kern w:val="0"/>
                <w:sz w:val="24"/>
                <w:szCs w:val="24"/>
                <w:u w:val="none" w:color="auto"/>
                <w:lang w:val="en-US" w:eastAsia="zh-CN"/>
              </w:rPr>
              <w:t>3.</w:t>
            </w:r>
            <w:r>
              <w:rPr>
                <w:rFonts w:hint="eastAsia" w:ascii="仿宋" w:hAnsi="仿宋" w:eastAsia="仿宋" w:cs="仿宋"/>
                <w:b w:val="0"/>
                <w:color w:val="000000"/>
                <w:kern w:val="0"/>
                <w:sz w:val="24"/>
                <w:szCs w:val="24"/>
                <w:u w:val="none" w:color="auto"/>
              </w:rPr>
              <w:t>有上墙的</w:t>
            </w:r>
            <w:r>
              <w:rPr>
                <w:rFonts w:hint="eastAsia" w:ascii="仿宋" w:hAnsi="仿宋" w:eastAsia="仿宋" w:cs="仿宋"/>
                <w:b w:val="0"/>
                <w:color w:val="000000"/>
                <w:kern w:val="0"/>
                <w:sz w:val="24"/>
                <w:szCs w:val="24"/>
                <w:u w:val="none" w:color="auto"/>
                <w:lang w:eastAsia="zh-CN"/>
              </w:rPr>
              <w:t>实训室</w:t>
            </w:r>
            <w:r>
              <w:rPr>
                <w:rFonts w:hint="eastAsia" w:ascii="仿宋" w:hAnsi="仿宋" w:eastAsia="仿宋" w:cs="仿宋"/>
                <w:b w:val="0"/>
                <w:color w:val="000000"/>
                <w:kern w:val="0"/>
                <w:sz w:val="24"/>
                <w:szCs w:val="24"/>
                <w:u w:val="none" w:color="auto"/>
              </w:rPr>
              <w:t>管理制度。</w:t>
            </w:r>
          </w:p>
        </w:tc>
        <w:tc>
          <w:tcPr>
            <w:tcW w:w="1883" w:type="pct"/>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pPr>
              <w:widowControl/>
              <w:jc w:val="both"/>
              <w:rPr>
                <w:rFonts w:ascii="仿宋" w:hAnsi="仿宋" w:eastAsia="仿宋" w:cs="仿宋"/>
                <w:b w:val="0"/>
                <w:color w:val="000000"/>
                <w:kern w:val="0"/>
                <w:sz w:val="24"/>
                <w:szCs w:val="24"/>
                <w:u w:val="none" w:color="auto"/>
              </w:rPr>
            </w:pPr>
            <w:r>
              <w:rPr>
                <w:rFonts w:hint="eastAsia" w:ascii="仿宋" w:hAnsi="仿宋" w:eastAsia="仿宋" w:cs="仿宋"/>
                <w:b w:val="0"/>
                <w:color w:val="000000"/>
                <w:kern w:val="0"/>
                <w:sz w:val="24"/>
                <w:szCs w:val="24"/>
                <w:u w:val="none" w:color="auto"/>
                <w:lang w:val="en-US" w:eastAsia="zh-CN"/>
              </w:rPr>
              <w:t>1.</w:t>
            </w:r>
            <w:r>
              <w:rPr>
                <w:rFonts w:hint="eastAsia" w:ascii="仿宋" w:hAnsi="仿宋" w:eastAsia="仿宋" w:cs="仿宋"/>
                <w:b w:val="0"/>
                <w:color w:val="000000"/>
                <w:kern w:val="0"/>
                <w:sz w:val="24"/>
                <w:szCs w:val="24"/>
                <w:u w:val="none" w:color="auto"/>
              </w:rPr>
              <w:t>没有实施细则扣3分，有实施细则但没报学院国有资产管理部门备案扣1分；</w:t>
            </w:r>
          </w:p>
          <w:p>
            <w:pPr>
              <w:widowControl/>
              <w:jc w:val="both"/>
              <w:rPr>
                <w:rFonts w:ascii="仿宋" w:hAnsi="仿宋" w:eastAsia="仿宋" w:cs="仿宋"/>
                <w:b w:val="0"/>
                <w:color w:val="000000"/>
                <w:kern w:val="0"/>
                <w:sz w:val="24"/>
                <w:szCs w:val="24"/>
                <w:u w:val="none" w:color="auto"/>
              </w:rPr>
            </w:pPr>
            <w:r>
              <w:rPr>
                <w:rFonts w:hint="eastAsia" w:ascii="仿宋" w:hAnsi="仿宋" w:eastAsia="仿宋" w:cs="仿宋"/>
                <w:b w:val="0"/>
                <w:color w:val="000000"/>
                <w:kern w:val="0"/>
                <w:sz w:val="24"/>
                <w:szCs w:val="24"/>
                <w:u w:val="none" w:color="auto"/>
                <w:lang w:val="en-US" w:eastAsia="zh-CN"/>
              </w:rPr>
              <w:t>2.</w:t>
            </w:r>
            <w:r>
              <w:rPr>
                <w:rFonts w:hint="eastAsia" w:ascii="仿宋" w:hAnsi="仿宋" w:eastAsia="仿宋" w:cs="仿宋"/>
                <w:b w:val="0"/>
                <w:color w:val="000000"/>
                <w:kern w:val="0"/>
                <w:sz w:val="24"/>
                <w:szCs w:val="24"/>
                <w:u w:val="none" w:color="auto"/>
              </w:rPr>
              <w:t>大精设备没有操作规程等专项管理制度扣1分；</w:t>
            </w:r>
          </w:p>
          <w:p>
            <w:pPr>
              <w:widowControl/>
              <w:jc w:val="both"/>
              <w:rPr>
                <w:rFonts w:ascii="仿宋" w:hAnsi="仿宋" w:eastAsia="仿宋" w:cs="仿宋"/>
                <w:b w:val="0"/>
                <w:color w:val="000000"/>
                <w:kern w:val="0"/>
                <w:sz w:val="24"/>
                <w:szCs w:val="24"/>
                <w:u w:val="none" w:color="auto"/>
              </w:rPr>
            </w:pPr>
            <w:r>
              <w:rPr>
                <w:rFonts w:hint="eastAsia" w:ascii="仿宋" w:hAnsi="仿宋" w:eastAsia="仿宋" w:cs="仿宋"/>
                <w:b w:val="0"/>
                <w:color w:val="000000"/>
                <w:kern w:val="0"/>
                <w:sz w:val="24"/>
                <w:szCs w:val="24"/>
                <w:u w:val="none" w:color="auto"/>
                <w:lang w:val="en-US" w:eastAsia="zh-CN"/>
              </w:rPr>
              <w:t>3.</w:t>
            </w:r>
            <w:r>
              <w:rPr>
                <w:rFonts w:hint="eastAsia" w:ascii="仿宋" w:hAnsi="仿宋" w:eastAsia="仿宋" w:cs="仿宋"/>
                <w:b w:val="0"/>
                <w:color w:val="000000"/>
                <w:kern w:val="0"/>
                <w:sz w:val="24"/>
                <w:szCs w:val="24"/>
                <w:u w:val="none" w:color="auto"/>
              </w:rPr>
              <w:t>没有上墙的</w:t>
            </w:r>
            <w:r>
              <w:rPr>
                <w:rFonts w:hint="eastAsia" w:ascii="仿宋" w:hAnsi="仿宋" w:eastAsia="仿宋" w:cs="仿宋"/>
                <w:b w:val="0"/>
                <w:color w:val="000000"/>
                <w:kern w:val="0"/>
                <w:sz w:val="24"/>
                <w:szCs w:val="24"/>
                <w:u w:val="none" w:color="auto"/>
                <w:lang w:eastAsia="zh-CN"/>
              </w:rPr>
              <w:t>实训</w:t>
            </w:r>
            <w:r>
              <w:rPr>
                <w:rFonts w:hint="eastAsia" w:ascii="仿宋" w:hAnsi="仿宋" w:eastAsia="仿宋" w:cs="仿宋"/>
                <w:b w:val="0"/>
                <w:color w:val="000000"/>
                <w:kern w:val="0"/>
                <w:sz w:val="24"/>
                <w:szCs w:val="24"/>
                <w:u w:val="none" w:color="auto"/>
              </w:rPr>
              <w:t>室管理制度扣1分。</w:t>
            </w:r>
          </w:p>
        </w:tc>
        <w:tc>
          <w:tcPr>
            <w:tcW w:w="547" w:type="pct"/>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pPr>
              <w:widowControl/>
              <w:jc w:val="center"/>
              <w:rPr>
                <w:rFonts w:ascii="仿宋" w:hAnsi="仿宋" w:eastAsia="仿宋" w:cs="仿宋"/>
                <w:b w:val="0"/>
                <w:color w:val="000000"/>
                <w:kern w:val="0"/>
                <w:sz w:val="24"/>
                <w:szCs w:val="24"/>
                <w:u w:val="none" w:color="auto"/>
              </w:rPr>
            </w:pPr>
          </w:p>
        </w:tc>
      </w:tr>
      <w:tr>
        <w:tblPrEx>
          <w:tblCellMar>
            <w:top w:w="0" w:type="dxa"/>
            <w:left w:w="0" w:type="dxa"/>
            <w:bottom w:w="0" w:type="dxa"/>
            <w:right w:w="0" w:type="dxa"/>
          </w:tblCellMar>
        </w:tblPrEx>
        <w:trPr>
          <w:trHeight w:val="1101" w:hRule="atLeast"/>
          <w:jc w:val="center"/>
        </w:trPr>
        <w:tc>
          <w:tcPr>
            <w:tcW w:w="43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仿宋" w:hAnsi="仿宋" w:eastAsia="仿宋" w:cs="仿宋"/>
                <w:b w:val="0"/>
                <w:color w:val="000000"/>
                <w:kern w:val="0"/>
                <w:sz w:val="24"/>
                <w:szCs w:val="24"/>
                <w:u w:val="none" w:color="auto"/>
              </w:rPr>
            </w:pPr>
          </w:p>
        </w:tc>
        <w:tc>
          <w:tcPr>
            <w:tcW w:w="575" w:type="pct"/>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pPr>
              <w:widowControl/>
              <w:jc w:val="center"/>
              <w:rPr>
                <w:rFonts w:hint="eastAsia" w:ascii="仿宋" w:hAnsi="仿宋" w:eastAsia="仿宋" w:cs="仿宋"/>
                <w:b w:val="0"/>
                <w:color w:val="000000"/>
                <w:kern w:val="0"/>
                <w:sz w:val="24"/>
                <w:szCs w:val="24"/>
                <w:u w:val="none" w:color="auto"/>
              </w:rPr>
            </w:pPr>
            <w:r>
              <w:rPr>
                <w:rFonts w:hint="eastAsia" w:ascii="仿宋" w:hAnsi="仿宋" w:eastAsia="仿宋" w:cs="仿宋"/>
                <w:b w:val="0"/>
                <w:color w:val="000000"/>
                <w:kern w:val="0"/>
                <w:sz w:val="24"/>
                <w:szCs w:val="24"/>
                <w:u w:val="none" w:color="auto"/>
              </w:rPr>
              <w:t>制度执行</w:t>
            </w:r>
          </w:p>
          <w:p>
            <w:pPr>
              <w:widowControl/>
              <w:jc w:val="center"/>
              <w:rPr>
                <w:rFonts w:ascii="仿宋" w:hAnsi="仿宋" w:eastAsia="仿宋" w:cs="仿宋"/>
                <w:b w:val="0"/>
                <w:color w:val="000000"/>
                <w:kern w:val="0"/>
                <w:sz w:val="24"/>
                <w:szCs w:val="24"/>
                <w:u w:val="none" w:color="auto"/>
              </w:rPr>
            </w:pPr>
            <w:r>
              <w:rPr>
                <w:rFonts w:hint="eastAsia" w:ascii="仿宋" w:hAnsi="仿宋" w:eastAsia="仿宋" w:cs="仿宋"/>
                <w:b w:val="0"/>
                <w:color w:val="000000"/>
                <w:kern w:val="0"/>
                <w:sz w:val="24"/>
                <w:szCs w:val="24"/>
                <w:u w:val="none" w:color="auto"/>
              </w:rPr>
              <w:t>（3分）</w:t>
            </w:r>
          </w:p>
        </w:tc>
        <w:tc>
          <w:tcPr>
            <w:tcW w:w="1560" w:type="pct"/>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pPr>
              <w:widowControl/>
              <w:jc w:val="both"/>
              <w:rPr>
                <w:rFonts w:hint="eastAsia" w:ascii="仿宋" w:hAnsi="仿宋" w:eastAsia="仿宋" w:cs="仿宋"/>
                <w:b w:val="0"/>
                <w:color w:val="000000"/>
                <w:kern w:val="0"/>
                <w:sz w:val="24"/>
                <w:szCs w:val="24"/>
                <w:u w:val="none" w:color="auto"/>
                <w:lang w:eastAsia="zh-CN"/>
              </w:rPr>
            </w:pPr>
            <w:r>
              <w:rPr>
                <w:rFonts w:hint="eastAsia" w:ascii="仿宋" w:hAnsi="仿宋" w:eastAsia="仿宋" w:cs="仿宋"/>
                <w:b w:val="0"/>
                <w:color w:val="000000"/>
                <w:kern w:val="0"/>
                <w:sz w:val="24"/>
                <w:szCs w:val="24"/>
                <w:u w:val="none" w:color="auto"/>
              </w:rPr>
              <w:t>在部门教职工中宣传、学习并严格执行学院与部门资产管理规章制度，按时参加学院组织的资产管理业务培训</w:t>
            </w:r>
            <w:r>
              <w:rPr>
                <w:rFonts w:hint="eastAsia" w:ascii="仿宋" w:hAnsi="仿宋" w:eastAsia="仿宋" w:cs="仿宋"/>
                <w:b w:val="0"/>
                <w:color w:val="000000"/>
                <w:kern w:val="0"/>
                <w:sz w:val="24"/>
                <w:szCs w:val="24"/>
                <w:u w:val="none" w:color="auto"/>
                <w:lang w:eastAsia="zh-CN"/>
              </w:rPr>
              <w:t>。</w:t>
            </w:r>
          </w:p>
        </w:tc>
        <w:tc>
          <w:tcPr>
            <w:tcW w:w="1883" w:type="pct"/>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pPr>
              <w:widowControl/>
              <w:jc w:val="both"/>
              <w:rPr>
                <w:rFonts w:ascii="仿宋" w:hAnsi="仿宋" w:eastAsia="仿宋" w:cs="仿宋"/>
                <w:b w:val="0"/>
                <w:color w:val="000000"/>
                <w:kern w:val="0"/>
                <w:sz w:val="24"/>
                <w:szCs w:val="24"/>
                <w:u w:val="none" w:color="auto"/>
              </w:rPr>
            </w:pPr>
            <w:r>
              <w:rPr>
                <w:rFonts w:hint="eastAsia" w:ascii="仿宋" w:hAnsi="仿宋" w:eastAsia="仿宋" w:cs="仿宋"/>
                <w:b w:val="0"/>
                <w:color w:val="000000"/>
                <w:kern w:val="0"/>
                <w:sz w:val="24"/>
                <w:szCs w:val="24"/>
                <w:u w:val="none" w:color="auto"/>
              </w:rPr>
              <w:t>未按时参加</w:t>
            </w:r>
            <w:r>
              <w:rPr>
                <w:rFonts w:hint="eastAsia" w:ascii="仿宋" w:hAnsi="仿宋" w:eastAsia="仿宋" w:cs="仿宋"/>
                <w:b w:val="0"/>
                <w:color w:val="000000"/>
                <w:kern w:val="0"/>
                <w:sz w:val="24"/>
                <w:szCs w:val="24"/>
                <w:u w:val="none" w:color="auto"/>
                <w:lang w:eastAsia="zh-CN"/>
              </w:rPr>
              <w:t>学院组织</w:t>
            </w:r>
            <w:r>
              <w:rPr>
                <w:rFonts w:hint="eastAsia" w:ascii="仿宋" w:hAnsi="仿宋" w:eastAsia="仿宋" w:cs="仿宋"/>
                <w:b w:val="0"/>
                <w:color w:val="000000"/>
                <w:kern w:val="0"/>
                <w:sz w:val="24"/>
                <w:szCs w:val="24"/>
                <w:u w:val="none" w:color="auto"/>
              </w:rPr>
              <w:t>资产管理员培训或会议，每次扣1分。</w:t>
            </w:r>
          </w:p>
        </w:tc>
        <w:tc>
          <w:tcPr>
            <w:tcW w:w="547" w:type="pct"/>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pPr>
              <w:widowControl/>
              <w:jc w:val="center"/>
              <w:rPr>
                <w:rFonts w:ascii="仿宋" w:hAnsi="仿宋" w:eastAsia="仿宋" w:cs="仿宋"/>
                <w:b w:val="0"/>
                <w:color w:val="000000"/>
                <w:kern w:val="0"/>
                <w:sz w:val="24"/>
                <w:szCs w:val="24"/>
                <w:u w:val="none" w:color="auto"/>
              </w:rPr>
            </w:pPr>
          </w:p>
        </w:tc>
      </w:tr>
      <w:tr>
        <w:tblPrEx>
          <w:tblCellMar>
            <w:top w:w="0" w:type="dxa"/>
            <w:left w:w="0" w:type="dxa"/>
            <w:bottom w:w="0" w:type="dxa"/>
            <w:right w:w="0" w:type="dxa"/>
          </w:tblCellMar>
        </w:tblPrEx>
        <w:trPr>
          <w:trHeight w:val="999" w:hRule="atLeast"/>
          <w:jc w:val="center"/>
        </w:trPr>
        <w:tc>
          <w:tcPr>
            <w:tcW w:w="43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仿宋" w:hAnsi="仿宋" w:eastAsia="仿宋" w:cs="仿宋"/>
                <w:b w:val="0"/>
                <w:color w:val="000000"/>
                <w:kern w:val="0"/>
                <w:sz w:val="24"/>
                <w:szCs w:val="24"/>
                <w:u w:val="none" w:color="auto"/>
              </w:rPr>
            </w:pPr>
          </w:p>
        </w:tc>
        <w:tc>
          <w:tcPr>
            <w:tcW w:w="575" w:type="pct"/>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pPr>
              <w:widowControl/>
              <w:jc w:val="center"/>
              <w:rPr>
                <w:rFonts w:hint="eastAsia" w:ascii="仿宋" w:hAnsi="仿宋" w:eastAsia="仿宋" w:cs="仿宋"/>
                <w:b w:val="0"/>
                <w:color w:val="000000"/>
                <w:kern w:val="0"/>
                <w:sz w:val="24"/>
                <w:szCs w:val="24"/>
                <w:u w:val="none" w:color="auto"/>
                <w:lang w:eastAsia="zh-CN"/>
              </w:rPr>
            </w:pPr>
            <w:r>
              <w:rPr>
                <w:rFonts w:hint="eastAsia" w:ascii="仿宋" w:hAnsi="仿宋" w:eastAsia="仿宋" w:cs="仿宋"/>
                <w:b w:val="0"/>
                <w:color w:val="000000"/>
                <w:kern w:val="0"/>
                <w:sz w:val="24"/>
                <w:szCs w:val="24"/>
                <w:u w:val="none" w:color="auto"/>
                <w:lang w:eastAsia="zh-CN"/>
              </w:rPr>
              <w:t>工作安排</w:t>
            </w:r>
          </w:p>
          <w:p>
            <w:pPr>
              <w:widowControl/>
              <w:jc w:val="center"/>
              <w:rPr>
                <w:rFonts w:ascii="仿宋" w:hAnsi="仿宋" w:eastAsia="仿宋" w:cs="仿宋"/>
                <w:b w:val="0"/>
                <w:color w:val="000000"/>
                <w:kern w:val="0"/>
                <w:sz w:val="24"/>
                <w:szCs w:val="24"/>
                <w:u w:val="none" w:color="auto"/>
              </w:rPr>
            </w:pPr>
            <w:r>
              <w:rPr>
                <w:rFonts w:hint="eastAsia" w:ascii="仿宋" w:hAnsi="仿宋" w:eastAsia="仿宋" w:cs="仿宋"/>
                <w:b w:val="0"/>
                <w:color w:val="000000"/>
                <w:kern w:val="0"/>
                <w:sz w:val="24"/>
                <w:szCs w:val="24"/>
                <w:u w:val="none" w:color="auto"/>
              </w:rPr>
              <w:t>（2分）</w:t>
            </w:r>
          </w:p>
        </w:tc>
        <w:tc>
          <w:tcPr>
            <w:tcW w:w="1560" w:type="pct"/>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pPr>
              <w:widowControl/>
              <w:jc w:val="both"/>
              <w:rPr>
                <w:rFonts w:ascii="仿宋" w:hAnsi="仿宋" w:eastAsia="仿宋" w:cs="仿宋"/>
                <w:b w:val="0"/>
                <w:color w:val="000000"/>
                <w:kern w:val="0"/>
                <w:sz w:val="24"/>
                <w:szCs w:val="24"/>
                <w:u w:val="none" w:color="auto"/>
              </w:rPr>
            </w:pPr>
            <w:r>
              <w:rPr>
                <w:rFonts w:hint="eastAsia" w:ascii="仿宋" w:hAnsi="仿宋" w:eastAsia="仿宋" w:cs="仿宋"/>
                <w:b w:val="0"/>
                <w:color w:val="000000"/>
                <w:kern w:val="0"/>
                <w:sz w:val="24"/>
                <w:szCs w:val="24"/>
                <w:u w:val="none" w:color="auto"/>
              </w:rPr>
              <w:t>有部门资产管理的工作计划和工作安排。</w:t>
            </w:r>
          </w:p>
        </w:tc>
        <w:tc>
          <w:tcPr>
            <w:tcW w:w="1883" w:type="pct"/>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pPr>
              <w:widowControl/>
              <w:jc w:val="both"/>
              <w:rPr>
                <w:rFonts w:ascii="仿宋" w:hAnsi="仿宋" w:eastAsia="仿宋" w:cs="仿宋"/>
                <w:b w:val="0"/>
                <w:color w:val="000000"/>
                <w:kern w:val="0"/>
                <w:sz w:val="24"/>
                <w:szCs w:val="24"/>
                <w:u w:val="none" w:color="auto"/>
              </w:rPr>
            </w:pPr>
            <w:r>
              <w:rPr>
                <w:rFonts w:hint="eastAsia" w:ascii="仿宋" w:hAnsi="仿宋" w:eastAsia="仿宋" w:cs="仿宋"/>
                <w:b w:val="0"/>
                <w:color w:val="000000"/>
                <w:kern w:val="0"/>
                <w:sz w:val="24"/>
                <w:szCs w:val="24"/>
                <w:u w:val="none" w:color="auto"/>
              </w:rPr>
              <w:t>没有工作计划和工作安排扣2分。</w:t>
            </w:r>
          </w:p>
        </w:tc>
        <w:tc>
          <w:tcPr>
            <w:tcW w:w="547" w:type="pct"/>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pPr>
              <w:widowControl/>
              <w:jc w:val="center"/>
              <w:rPr>
                <w:rFonts w:ascii="仿宋" w:hAnsi="仿宋" w:eastAsia="仿宋" w:cs="仿宋"/>
                <w:b w:val="0"/>
                <w:color w:val="000000"/>
                <w:kern w:val="0"/>
                <w:sz w:val="24"/>
                <w:szCs w:val="24"/>
                <w:u w:val="none" w:color="auto"/>
              </w:rPr>
            </w:pPr>
          </w:p>
        </w:tc>
      </w:tr>
      <w:tr>
        <w:tblPrEx>
          <w:tblCellMar>
            <w:top w:w="0" w:type="dxa"/>
            <w:left w:w="0" w:type="dxa"/>
            <w:bottom w:w="0" w:type="dxa"/>
            <w:right w:w="0" w:type="dxa"/>
          </w:tblCellMar>
        </w:tblPrEx>
        <w:trPr>
          <w:trHeight w:val="894" w:hRule="atLeast"/>
          <w:jc w:val="center"/>
        </w:trPr>
        <w:tc>
          <w:tcPr>
            <w:tcW w:w="434" w:type="pct"/>
            <w:vMerge w:val="restart"/>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pPr>
              <w:widowControl/>
              <w:jc w:val="center"/>
              <w:rPr>
                <w:rFonts w:ascii="仿宋" w:hAnsi="仿宋" w:eastAsia="仿宋" w:cs="仿宋"/>
                <w:b w:val="0"/>
                <w:color w:val="000000"/>
                <w:kern w:val="0"/>
                <w:sz w:val="24"/>
                <w:szCs w:val="24"/>
                <w:u w:val="none" w:color="auto"/>
              </w:rPr>
            </w:pPr>
            <w:r>
              <w:rPr>
                <w:rFonts w:hint="eastAsia" w:ascii="仿宋" w:hAnsi="仿宋" w:eastAsia="仿宋" w:cs="仿宋"/>
                <w:b w:val="0"/>
                <w:color w:val="000000"/>
                <w:kern w:val="0"/>
                <w:sz w:val="24"/>
                <w:szCs w:val="24"/>
                <w:u w:val="none" w:color="auto"/>
              </w:rPr>
              <w:t>管理队伍（10分）</w:t>
            </w:r>
          </w:p>
        </w:tc>
        <w:tc>
          <w:tcPr>
            <w:tcW w:w="575" w:type="pct"/>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pPr>
              <w:widowControl/>
              <w:jc w:val="center"/>
              <w:rPr>
                <w:rFonts w:hint="eastAsia" w:ascii="仿宋" w:hAnsi="仿宋" w:eastAsia="仿宋" w:cs="仿宋"/>
                <w:b w:val="0"/>
                <w:color w:val="000000"/>
                <w:kern w:val="0"/>
                <w:sz w:val="24"/>
                <w:szCs w:val="24"/>
                <w:u w:val="none" w:color="auto"/>
                <w:lang w:eastAsia="zh-CN"/>
              </w:rPr>
            </w:pPr>
            <w:r>
              <w:rPr>
                <w:rFonts w:hint="eastAsia" w:ascii="仿宋" w:hAnsi="仿宋" w:eastAsia="仿宋" w:cs="仿宋"/>
                <w:b w:val="0"/>
                <w:color w:val="000000"/>
                <w:kern w:val="0"/>
                <w:sz w:val="24"/>
                <w:szCs w:val="24"/>
                <w:u w:val="none" w:color="auto"/>
                <w:lang w:eastAsia="zh-CN"/>
              </w:rPr>
              <w:t>领导分工</w:t>
            </w:r>
          </w:p>
          <w:p>
            <w:pPr>
              <w:widowControl/>
              <w:jc w:val="center"/>
              <w:rPr>
                <w:rFonts w:ascii="仿宋" w:hAnsi="仿宋" w:eastAsia="仿宋" w:cs="仿宋"/>
                <w:b w:val="0"/>
                <w:color w:val="000000"/>
                <w:kern w:val="0"/>
                <w:sz w:val="24"/>
                <w:szCs w:val="24"/>
                <w:u w:val="none" w:color="auto"/>
              </w:rPr>
            </w:pPr>
            <w:r>
              <w:rPr>
                <w:rFonts w:hint="eastAsia" w:ascii="仿宋" w:hAnsi="仿宋" w:eastAsia="仿宋" w:cs="仿宋"/>
                <w:b w:val="0"/>
                <w:color w:val="000000"/>
                <w:kern w:val="0"/>
                <w:sz w:val="24"/>
                <w:szCs w:val="24"/>
                <w:u w:val="none" w:color="auto"/>
              </w:rPr>
              <w:t>（2分）</w:t>
            </w:r>
          </w:p>
        </w:tc>
        <w:tc>
          <w:tcPr>
            <w:tcW w:w="1560" w:type="pct"/>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pPr>
              <w:widowControl/>
              <w:jc w:val="both"/>
              <w:rPr>
                <w:rFonts w:ascii="仿宋" w:hAnsi="仿宋" w:eastAsia="仿宋" w:cs="仿宋"/>
                <w:b w:val="0"/>
                <w:color w:val="000000"/>
                <w:kern w:val="0"/>
                <w:sz w:val="24"/>
                <w:szCs w:val="24"/>
                <w:u w:val="none" w:color="auto"/>
              </w:rPr>
            </w:pPr>
            <w:r>
              <w:rPr>
                <w:rFonts w:hint="eastAsia" w:ascii="仿宋" w:hAnsi="仿宋" w:eastAsia="仿宋" w:cs="仿宋"/>
                <w:b w:val="0"/>
                <w:color w:val="000000"/>
                <w:kern w:val="0"/>
                <w:sz w:val="24"/>
                <w:szCs w:val="24"/>
                <w:u w:val="none" w:color="auto"/>
              </w:rPr>
              <w:t>部门领导有资产管理分工，有明确的资产管理职责。</w:t>
            </w:r>
          </w:p>
        </w:tc>
        <w:tc>
          <w:tcPr>
            <w:tcW w:w="1883" w:type="pct"/>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pPr>
              <w:widowControl/>
              <w:jc w:val="both"/>
              <w:rPr>
                <w:rFonts w:ascii="仿宋" w:hAnsi="仿宋" w:eastAsia="仿宋" w:cs="仿宋"/>
                <w:b w:val="0"/>
                <w:color w:val="000000"/>
                <w:kern w:val="0"/>
                <w:sz w:val="24"/>
                <w:szCs w:val="24"/>
                <w:u w:val="none" w:color="auto"/>
              </w:rPr>
            </w:pPr>
            <w:r>
              <w:rPr>
                <w:rFonts w:hint="eastAsia" w:ascii="仿宋" w:hAnsi="仿宋" w:eastAsia="仿宋" w:cs="仿宋"/>
                <w:b w:val="0"/>
                <w:color w:val="000000"/>
                <w:kern w:val="0"/>
                <w:sz w:val="24"/>
                <w:szCs w:val="24"/>
                <w:u w:val="none" w:color="auto"/>
              </w:rPr>
              <w:t>没有领导分工负责资产管理扣2分。</w:t>
            </w:r>
          </w:p>
        </w:tc>
        <w:tc>
          <w:tcPr>
            <w:tcW w:w="547" w:type="pct"/>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pPr>
              <w:widowControl/>
              <w:jc w:val="center"/>
              <w:rPr>
                <w:rFonts w:ascii="仿宋" w:hAnsi="仿宋" w:eastAsia="仿宋" w:cs="仿宋"/>
                <w:b w:val="0"/>
                <w:color w:val="000000"/>
                <w:kern w:val="0"/>
                <w:sz w:val="24"/>
                <w:szCs w:val="24"/>
                <w:u w:val="none" w:color="auto"/>
              </w:rPr>
            </w:pPr>
          </w:p>
        </w:tc>
      </w:tr>
      <w:tr>
        <w:tblPrEx>
          <w:tblCellMar>
            <w:top w:w="0" w:type="dxa"/>
            <w:left w:w="0" w:type="dxa"/>
            <w:bottom w:w="0" w:type="dxa"/>
            <w:right w:w="0" w:type="dxa"/>
          </w:tblCellMar>
        </w:tblPrEx>
        <w:trPr>
          <w:trHeight w:val="2324" w:hRule="atLeast"/>
          <w:jc w:val="center"/>
        </w:trPr>
        <w:tc>
          <w:tcPr>
            <w:tcW w:w="43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仿宋" w:hAnsi="仿宋" w:eastAsia="仿宋" w:cs="仿宋"/>
                <w:b w:val="0"/>
                <w:color w:val="000000"/>
                <w:kern w:val="0"/>
                <w:sz w:val="24"/>
                <w:szCs w:val="24"/>
                <w:u w:val="none" w:color="auto"/>
              </w:rPr>
            </w:pPr>
          </w:p>
        </w:tc>
        <w:tc>
          <w:tcPr>
            <w:tcW w:w="575" w:type="pct"/>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pPr>
              <w:widowControl/>
              <w:jc w:val="center"/>
              <w:rPr>
                <w:rFonts w:hint="eastAsia" w:ascii="仿宋" w:hAnsi="仿宋" w:eastAsia="仿宋" w:cs="仿宋"/>
                <w:b w:val="0"/>
                <w:color w:val="000000"/>
                <w:kern w:val="0"/>
                <w:sz w:val="24"/>
                <w:szCs w:val="24"/>
                <w:u w:val="none" w:color="auto"/>
                <w:lang w:eastAsia="zh-CN"/>
              </w:rPr>
            </w:pPr>
            <w:r>
              <w:rPr>
                <w:rFonts w:hint="eastAsia" w:ascii="仿宋" w:hAnsi="仿宋" w:eastAsia="仿宋" w:cs="仿宋"/>
                <w:b w:val="0"/>
                <w:color w:val="000000"/>
                <w:kern w:val="0"/>
                <w:sz w:val="24"/>
                <w:szCs w:val="24"/>
                <w:u w:val="none" w:color="auto"/>
                <w:lang w:eastAsia="zh-CN"/>
              </w:rPr>
              <w:t>人员配备</w:t>
            </w:r>
          </w:p>
          <w:p>
            <w:pPr>
              <w:widowControl/>
              <w:jc w:val="center"/>
              <w:rPr>
                <w:rFonts w:ascii="仿宋" w:hAnsi="仿宋" w:eastAsia="仿宋" w:cs="仿宋"/>
                <w:b w:val="0"/>
                <w:color w:val="000000"/>
                <w:kern w:val="0"/>
                <w:sz w:val="24"/>
                <w:szCs w:val="24"/>
                <w:u w:val="none" w:color="auto"/>
              </w:rPr>
            </w:pPr>
            <w:r>
              <w:rPr>
                <w:rFonts w:hint="eastAsia" w:ascii="仿宋" w:hAnsi="仿宋" w:eastAsia="仿宋" w:cs="仿宋"/>
                <w:b w:val="0"/>
                <w:color w:val="000000"/>
                <w:kern w:val="0"/>
                <w:sz w:val="24"/>
                <w:szCs w:val="24"/>
                <w:u w:val="none" w:color="auto"/>
              </w:rPr>
              <w:t>（8分）</w:t>
            </w:r>
          </w:p>
        </w:tc>
        <w:tc>
          <w:tcPr>
            <w:tcW w:w="1560" w:type="pct"/>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pPr>
              <w:widowControl/>
              <w:jc w:val="both"/>
              <w:rPr>
                <w:rFonts w:ascii="仿宋" w:hAnsi="仿宋" w:eastAsia="仿宋" w:cs="仿宋"/>
                <w:b w:val="0"/>
                <w:color w:val="000000"/>
                <w:kern w:val="0"/>
                <w:sz w:val="24"/>
                <w:szCs w:val="24"/>
                <w:u w:val="none" w:color="auto"/>
              </w:rPr>
            </w:pPr>
            <w:r>
              <w:rPr>
                <w:rFonts w:hint="eastAsia" w:ascii="仿宋" w:hAnsi="仿宋" w:eastAsia="仿宋" w:cs="仿宋"/>
                <w:b w:val="0"/>
                <w:color w:val="000000"/>
                <w:kern w:val="0"/>
                <w:sz w:val="24"/>
                <w:szCs w:val="24"/>
                <w:u w:val="none" w:color="auto"/>
                <w:lang w:val="en-US" w:eastAsia="zh-CN"/>
              </w:rPr>
              <w:t>1.</w:t>
            </w:r>
            <w:r>
              <w:rPr>
                <w:rFonts w:hint="eastAsia" w:ascii="仿宋" w:hAnsi="仿宋" w:eastAsia="仿宋" w:cs="仿宋"/>
                <w:b w:val="0"/>
                <w:color w:val="000000"/>
                <w:kern w:val="0"/>
                <w:sz w:val="24"/>
                <w:szCs w:val="24"/>
                <w:u w:val="none" w:color="auto"/>
              </w:rPr>
              <w:t>部门设有专、兼职固定资产管理员，且有明确的岗位职责，其岗位职责报</w:t>
            </w:r>
            <w:r>
              <w:rPr>
                <w:rFonts w:hint="eastAsia" w:ascii="仿宋" w:hAnsi="仿宋" w:eastAsia="仿宋" w:cs="仿宋"/>
                <w:b w:val="0"/>
                <w:color w:val="000000"/>
                <w:kern w:val="0"/>
                <w:sz w:val="24"/>
                <w:szCs w:val="24"/>
                <w:u w:val="none" w:color="auto"/>
                <w:lang w:eastAsia="zh-CN"/>
              </w:rPr>
              <w:t>资产管理处</w:t>
            </w:r>
            <w:r>
              <w:rPr>
                <w:rFonts w:hint="eastAsia" w:ascii="仿宋" w:hAnsi="仿宋" w:eastAsia="仿宋" w:cs="仿宋"/>
                <w:b w:val="0"/>
                <w:color w:val="000000"/>
                <w:kern w:val="0"/>
                <w:sz w:val="24"/>
                <w:szCs w:val="24"/>
                <w:u w:val="none" w:color="auto"/>
              </w:rPr>
              <w:t>备案。</w:t>
            </w:r>
          </w:p>
          <w:p>
            <w:pPr>
              <w:widowControl/>
              <w:jc w:val="both"/>
              <w:rPr>
                <w:rFonts w:ascii="仿宋" w:hAnsi="仿宋" w:eastAsia="仿宋" w:cs="仿宋"/>
                <w:b w:val="0"/>
                <w:color w:val="000000"/>
                <w:kern w:val="0"/>
                <w:sz w:val="24"/>
                <w:szCs w:val="24"/>
                <w:u w:val="none" w:color="auto"/>
              </w:rPr>
            </w:pPr>
            <w:r>
              <w:rPr>
                <w:rFonts w:hint="eastAsia" w:ascii="仿宋" w:hAnsi="仿宋" w:eastAsia="仿宋" w:cs="仿宋"/>
                <w:b w:val="0"/>
                <w:color w:val="000000"/>
                <w:kern w:val="0"/>
                <w:sz w:val="24"/>
                <w:szCs w:val="24"/>
                <w:u w:val="none" w:color="auto"/>
                <w:lang w:val="en-US" w:eastAsia="zh-CN"/>
              </w:rPr>
              <w:t>2.</w:t>
            </w:r>
            <w:r>
              <w:rPr>
                <w:rFonts w:hint="eastAsia" w:ascii="仿宋" w:hAnsi="仿宋" w:eastAsia="仿宋" w:cs="仿宋"/>
                <w:b w:val="0"/>
                <w:color w:val="000000"/>
                <w:kern w:val="0"/>
                <w:sz w:val="24"/>
                <w:szCs w:val="24"/>
                <w:u w:val="none" w:color="auto"/>
              </w:rPr>
              <w:t>部门资产管理员相对稳定，无频繁更换，必须更换的，有交接手续，且向</w:t>
            </w:r>
            <w:r>
              <w:rPr>
                <w:rFonts w:hint="eastAsia" w:ascii="仿宋" w:hAnsi="仿宋" w:eastAsia="仿宋" w:cs="仿宋"/>
                <w:b w:val="0"/>
                <w:color w:val="000000"/>
                <w:kern w:val="0"/>
                <w:sz w:val="24"/>
                <w:szCs w:val="24"/>
                <w:u w:val="none" w:color="auto"/>
                <w:lang w:eastAsia="zh-CN"/>
              </w:rPr>
              <w:t>资产管理处</w:t>
            </w:r>
            <w:r>
              <w:rPr>
                <w:rFonts w:hint="eastAsia" w:ascii="仿宋" w:hAnsi="仿宋" w:eastAsia="仿宋" w:cs="仿宋"/>
                <w:b w:val="0"/>
                <w:color w:val="000000"/>
                <w:kern w:val="0"/>
                <w:sz w:val="24"/>
                <w:szCs w:val="24"/>
                <w:u w:val="none" w:color="auto"/>
              </w:rPr>
              <w:t>备案。资产管理员工作积极主动，认真负责。</w:t>
            </w:r>
          </w:p>
        </w:tc>
        <w:tc>
          <w:tcPr>
            <w:tcW w:w="1883" w:type="pct"/>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pPr>
              <w:widowControl/>
              <w:jc w:val="both"/>
              <w:rPr>
                <w:rFonts w:ascii="仿宋" w:hAnsi="仿宋" w:eastAsia="仿宋" w:cs="仿宋"/>
                <w:b w:val="0"/>
                <w:color w:val="000000"/>
                <w:kern w:val="0"/>
                <w:sz w:val="24"/>
                <w:szCs w:val="24"/>
                <w:u w:val="none" w:color="auto"/>
              </w:rPr>
            </w:pPr>
            <w:r>
              <w:rPr>
                <w:rFonts w:hint="eastAsia" w:ascii="仿宋" w:hAnsi="仿宋" w:eastAsia="仿宋" w:cs="仿宋"/>
                <w:b w:val="0"/>
                <w:color w:val="000000"/>
                <w:kern w:val="0"/>
                <w:sz w:val="24"/>
                <w:szCs w:val="24"/>
                <w:u w:val="none" w:color="auto"/>
                <w:lang w:val="en-US" w:eastAsia="zh-CN"/>
              </w:rPr>
              <w:t>1.</w:t>
            </w:r>
            <w:r>
              <w:rPr>
                <w:rFonts w:hint="eastAsia" w:ascii="仿宋" w:hAnsi="仿宋" w:eastAsia="仿宋" w:cs="仿宋"/>
                <w:b w:val="0"/>
                <w:color w:val="000000"/>
                <w:kern w:val="0"/>
                <w:sz w:val="24"/>
                <w:szCs w:val="24"/>
                <w:u w:val="none" w:color="auto"/>
              </w:rPr>
              <w:t>未按规定设置资产管理员或没有明确岗位职责扣1分；岗位职责没有</w:t>
            </w:r>
            <w:r>
              <w:rPr>
                <w:rFonts w:hint="eastAsia" w:ascii="仿宋" w:hAnsi="仿宋" w:eastAsia="仿宋" w:cs="仿宋"/>
                <w:b w:val="0"/>
                <w:color w:val="000000"/>
                <w:kern w:val="0"/>
                <w:sz w:val="24"/>
                <w:szCs w:val="24"/>
                <w:u w:val="none" w:color="auto"/>
                <w:lang w:eastAsia="zh-CN"/>
              </w:rPr>
              <w:t>资产管理处</w:t>
            </w:r>
            <w:r>
              <w:rPr>
                <w:rFonts w:hint="eastAsia" w:ascii="仿宋" w:hAnsi="仿宋" w:eastAsia="仿宋" w:cs="仿宋"/>
                <w:b w:val="0"/>
                <w:color w:val="000000"/>
                <w:kern w:val="0"/>
                <w:sz w:val="24"/>
                <w:szCs w:val="24"/>
                <w:u w:val="none" w:color="auto"/>
              </w:rPr>
              <w:t>备案扣1分。</w:t>
            </w:r>
          </w:p>
          <w:p>
            <w:pPr>
              <w:widowControl/>
              <w:jc w:val="both"/>
              <w:rPr>
                <w:rFonts w:ascii="仿宋" w:hAnsi="仿宋" w:eastAsia="仿宋" w:cs="仿宋"/>
                <w:b w:val="0"/>
                <w:color w:val="000000"/>
                <w:kern w:val="0"/>
                <w:sz w:val="24"/>
                <w:szCs w:val="24"/>
                <w:u w:val="none" w:color="auto"/>
              </w:rPr>
            </w:pPr>
            <w:r>
              <w:rPr>
                <w:rFonts w:hint="eastAsia" w:ascii="仿宋" w:hAnsi="仿宋" w:eastAsia="仿宋" w:cs="仿宋"/>
                <w:b w:val="0"/>
                <w:color w:val="000000"/>
                <w:kern w:val="0"/>
                <w:sz w:val="24"/>
                <w:szCs w:val="24"/>
                <w:u w:val="none" w:color="auto"/>
                <w:lang w:val="en-US" w:eastAsia="zh-CN"/>
              </w:rPr>
              <w:t>2.</w:t>
            </w:r>
            <w:r>
              <w:rPr>
                <w:rFonts w:hint="eastAsia" w:ascii="仿宋" w:hAnsi="仿宋" w:eastAsia="仿宋" w:cs="仿宋"/>
                <w:b w:val="0"/>
                <w:color w:val="000000"/>
                <w:kern w:val="0"/>
                <w:sz w:val="24"/>
                <w:szCs w:val="24"/>
                <w:u w:val="none" w:color="auto"/>
              </w:rPr>
              <w:t>资产管理员频繁更换扣1分；没有交接手续扣1分；人员更换没有报</w:t>
            </w:r>
            <w:r>
              <w:rPr>
                <w:rFonts w:hint="eastAsia" w:ascii="仿宋" w:hAnsi="仿宋" w:eastAsia="仿宋" w:cs="仿宋"/>
                <w:b w:val="0"/>
                <w:color w:val="000000"/>
                <w:kern w:val="0"/>
                <w:sz w:val="24"/>
                <w:szCs w:val="24"/>
                <w:u w:val="none" w:color="auto"/>
                <w:lang w:eastAsia="zh-CN"/>
              </w:rPr>
              <w:t>资产管理处</w:t>
            </w:r>
            <w:r>
              <w:rPr>
                <w:rFonts w:hint="eastAsia" w:ascii="仿宋" w:hAnsi="仿宋" w:eastAsia="仿宋" w:cs="仿宋"/>
                <w:b w:val="0"/>
                <w:color w:val="000000"/>
                <w:kern w:val="0"/>
                <w:sz w:val="24"/>
                <w:szCs w:val="24"/>
                <w:u w:val="none" w:color="auto"/>
              </w:rPr>
              <w:t>备案扣1分。</w:t>
            </w:r>
          </w:p>
          <w:p>
            <w:pPr>
              <w:widowControl/>
              <w:jc w:val="both"/>
              <w:rPr>
                <w:rFonts w:ascii="仿宋" w:hAnsi="仿宋" w:eastAsia="仿宋" w:cs="仿宋"/>
                <w:b w:val="0"/>
                <w:color w:val="000000"/>
                <w:kern w:val="0"/>
                <w:sz w:val="24"/>
                <w:szCs w:val="24"/>
                <w:u w:val="none" w:color="auto"/>
              </w:rPr>
            </w:pPr>
            <w:r>
              <w:rPr>
                <w:rFonts w:hint="eastAsia" w:ascii="仿宋" w:hAnsi="仿宋" w:eastAsia="仿宋" w:cs="仿宋"/>
                <w:b w:val="0"/>
                <w:color w:val="000000"/>
                <w:kern w:val="0"/>
                <w:sz w:val="24"/>
                <w:szCs w:val="24"/>
                <w:u w:val="none" w:color="auto"/>
                <w:lang w:val="en-US" w:eastAsia="zh-CN"/>
              </w:rPr>
              <w:t>3.</w:t>
            </w:r>
            <w:r>
              <w:rPr>
                <w:rFonts w:hint="eastAsia" w:ascii="仿宋" w:hAnsi="仿宋" w:eastAsia="仿宋" w:cs="仿宋"/>
                <w:b w:val="0"/>
                <w:color w:val="000000"/>
                <w:kern w:val="0"/>
                <w:sz w:val="24"/>
                <w:szCs w:val="24"/>
                <w:u w:val="none" w:color="auto"/>
              </w:rPr>
              <w:t>资产管理员工作不积极主动、不认真负责扣1分。</w:t>
            </w:r>
          </w:p>
        </w:tc>
        <w:tc>
          <w:tcPr>
            <w:tcW w:w="547" w:type="pct"/>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pPr>
              <w:widowControl/>
              <w:jc w:val="center"/>
              <w:rPr>
                <w:rFonts w:ascii="仿宋" w:hAnsi="仿宋" w:eastAsia="仿宋" w:cs="仿宋"/>
                <w:b w:val="0"/>
                <w:color w:val="000000"/>
                <w:kern w:val="0"/>
                <w:sz w:val="24"/>
                <w:szCs w:val="24"/>
                <w:u w:val="none" w:color="auto"/>
              </w:rPr>
            </w:pPr>
          </w:p>
        </w:tc>
      </w:tr>
      <w:tr>
        <w:tblPrEx>
          <w:tblCellMar>
            <w:top w:w="0" w:type="dxa"/>
            <w:left w:w="0" w:type="dxa"/>
            <w:bottom w:w="0" w:type="dxa"/>
            <w:right w:w="0" w:type="dxa"/>
          </w:tblCellMar>
        </w:tblPrEx>
        <w:trPr>
          <w:trHeight w:val="1775" w:hRule="atLeast"/>
          <w:jc w:val="center"/>
        </w:trPr>
        <w:tc>
          <w:tcPr>
            <w:tcW w:w="4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仿宋" w:hAnsi="仿宋" w:eastAsia="仿宋" w:cs="仿宋"/>
                <w:b w:val="0"/>
                <w:color w:val="000000"/>
                <w:kern w:val="0"/>
                <w:sz w:val="24"/>
                <w:szCs w:val="24"/>
                <w:u w:val="none" w:color="auto"/>
                <w:lang w:eastAsia="zh-CN"/>
              </w:rPr>
            </w:pPr>
            <w:r>
              <w:rPr>
                <w:rFonts w:hint="eastAsia" w:ascii="仿宋" w:hAnsi="仿宋" w:eastAsia="仿宋" w:cs="仿宋"/>
                <w:b w:val="0"/>
                <w:color w:val="000000"/>
                <w:kern w:val="0"/>
                <w:sz w:val="24"/>
                <w:szCs w:val="24"/>
                <w:u w:val="none" w:color="auto"/>
                <w:lang w:eastAsia="zh-CN"/>
              </w:rPr>
              <w:t>资产领用</w:t>
            </w:r>
          </w:p>
          <w:p>
            <w:pPr>
              <w:widowControl/>
              <w:jc w:val="center"/>
              <w:rPr>
                <w:rFonts w:hint="eastAsia" w:ascii="仿宋" w:hAnsi="仿宋" w:eastAsia="仿宋" w:cs="仿宋"/>
                <w:b w:val="0"/>
                <w:color w:val="000000"/>
                <w:kern w:val="0"/>
                <w:sz w:val="24"/>
                <w:szCs w:val="24"/>
                <w:u w:val="none" w:color="auto"/>
                <w:lang w:eastAsia="zh-CN"/>
              </w:rPr>
            </w:pPr>
            <w:r>
              <w:rPr>
                <w:rFonts w:hint="eastAsia" w:ascii="仿宋" w:hAnsi="仿宋" w:eastAsia="仿宋" w:cs="仿宋"/>
                <w:b w:val="0"/>
                <w:color w:val="000000"/>
                <w:kern w:val="0"/>
                <w:sz w:val="24"/>
                <w:szCs w:val="24"/>
                <w:u w:val="none" w:color="auto"/>
                <w:lang w:eastAsia="zh-CN"/>
              </w:rPr>
              <w:t>（</w:t>
            </w:r>
            <w:r>
              <w:rPr>
                <w:rFonts w:hint="eastAsia" w:ascii="仿宋" w:hAnsi="仿宋" w:eastAsia="仿宋" w:cs="仿宋"/>
                <w:b w:val="0"/>
                <w:color w:val="000000"/>
                <w:kern w:val="0"/>
                <w:sz w:val="24"/>
                <w:szCs w:val="24"/>
                <w:u w:val="none" w:color="auto"/>
                <w:lang w:val="en-US" w:eastAsia="zh-CN"/>
              </w:rPr>
              <w:t>10分</w:t>
            </w:r>
            <w:r>
              <w:rPr>
                <w:rFonts w:hint="eastAsia" w:ascii="仿宋" w:hAnsi="仿宋" w:eastAsia="仿宋" w:cs="仿宋"/>
                <w:b w:val="0"/>
                <w:color w:val="000000"/>
                <w:kern w:val="0"/>
                <w:sz w:val="24"/>
                <w:szCs w:val="24"/>
                <w:u w:val="none" w:color="auto"/>
                <w:lang w:eastAsia="zh-CN"/>
              </w:rPr>
              <w:t>）</w:t>
            </w:r>
          </w:p>
        </w:tc>
        <w:tc>
          <w:tcPr>
            <w:tcW w:w="575" w:type="pct"/>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pPr>
              <w:widowControl/>
              <w:jc w:val="center"/>
              <w:rPr>
                <w:rFonts w:ascii="仿宋" w:hAnsi="仿宋" w:eastAsia="仿宋" w:cs="仿宋"/>
                <w:b w:val="0"/>
                <w:color w:val="000000"/>
                <w:kern w:val="0"/>
                <w:sz w:val="24"/>
                <w:szCs w:val="24"/>
                <w:u w:val="none" w:color="auto"/>
              </w:rPr>
            </w:pPr>
            <w:r>
              <w:rPr>
                <w:rFonts w:hint="eastAsia" w:ascii="仿宋" w:hAnsi="仿宋" w:eastAsia="仿宋" w:cs="仿宋"/>
                <w:b w:val="0"/>
                <w:color w:val="000000"/>
                <w:kern w:val="0"/>
                <w:sz w:val="24"/>
                <w:szCs w:val="24"/>
                <w:u w:val="none" w:color="auto"/>
              </w:rPr>
              <w:t>资产领用</w:t>
            </w:r>
          </w:p>
          <w:p>
            <w:pPr>
              <w:widowControl/>
              <w:jc w:val="center"/>
              <w:rPr>
                <w:rFonts w:ascii="仿宋" w:hAnsi="仿宋" w:eastAsia="仿宋" w:cs="仿宋"/>
                <w:b w:val="0"/>
                <w:color w:val="000000"/>
                <w:kern w:val="0"/>
                <w:sz w:val="24"/>
                <w:szCs w:val="24"/>
                <w:u w:val="none" w:color="auto"/>
              </w:rPr>
            </w:pPr>
            <w:r>
              <w:rPr>
                <w:rFonts w:hint="eastAsia" w:ascii="仿宋" w:hAnsi="仿宋" w:eastAsia="仿宋" w:cs="仿宋"/>
                <w:b w:val="0"/>
                <w:color w:val="000000"/>
                <w:kern w:val="0"/>
                <w:sz w:val="24"/>
                <w:szCs w:val="24"/>
                <w:u w:val="none" w:color="auto"/>
              </w:rPr>
              <w:t>（</w:t>
            </w:r>
            <w:r>
              <w:rPr>
                <w:rFonts w:hint="eastAsia" w:ascii="仿宋" w:hAnsi="仿宋" w:eastAsia="仿宋" w:cs="仿宋"/>
                <w:b w:val="0"/>
                <w:color w:val="000000"/>
                <w:kern w:val="0"/>
                <w:sz w:val="24"/>
                <w:szCs w:val="24"/>
                <w:u w:val="none" w:color="auto"/>
                <w:lang w:val="en-US" w:eastAsia="zh-CN"/>
              </w:rPr>
              <w:t>10</w:t>
            </w:r>
            <w:r>
              <w:rPr>
                <w:rFonts w:hint="eastAsia" w:ascii="仿宋" w:hAnsi="仿宋" w:eastAsia="仿宋" w:cs="仿宋"/>
                <w:b w:val="0"/>
                <w:color w:val="000000"/>
                <w:kern w:val="0"/>
                <w:sz w:val="24"/>
                <w:szCs w:val="24"/>
                <w:u w:val="none" w:color="auto"/>
              </w:rPr>
              <w:t>分）</w:t>
            </w:r>
          </w:p>
        </w:tc>
        <w:tc>
          <w:tcPr>
            <w:tcW w:w="1560" w:type="pct"/>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pPr>
              <w:widowControl/>
              <w:jc w:val="left"/>
              <w:rPr>
                <w:rFonts w:ascii="仿宋" w:hAnsi="仿宋" w:eastAsia="仿宋" w:cs="仿宋"/>
                <w:b w:val="0"/>
                <w:color w:val="000000"/>
                <w:kern w:val="0"/>
                <w:sz w:val="24"/>
                <w:szCs w:val="24"/>
                <w:u w:val="none" w:color="auto"/>
              </w:rPr>
            </w:pPr>
            <w:r>
              <w:rPr>
                <w:rFonts w:hint="eastAsia" w:ascii="仿宋" w:hAnsi="仿宋" w:eastAsia="仿宋" w:cs="仿宋"/>
                <w:b w:val="0"/>
                <w:color w:val="000000"/>
                <w:kern w:val="0"/>
                <w:sz w:val="24"/>
                <w:szCs w:val="24"/>
                <w:u w:val="none" w:color="auto"/>
              </w:rPr>
              <w:t>各部门</w:t>
            </w:r>
            <w:r>
              <w:rPr>
                <w:rFonts w:hint="eastAsia" w:ascii="仿宋" w:hAnsi="仿宋" w:eastAsia="仿宋" w:cs="仿宋"/>
                <w:b w:val="0"/>
                <w:color w:val="000000"/>
                <w:kern w:val="0"/>
                <w:sz w:val="24"/>
                <w:szCs w:val="24"/>
                <w:u w:val="none" w:color="auto"/>
                <w:lang w:eastAsia="zh-CN"/>
              </w:rPr>
              <w:t>资产</w:t>
            </w:r>
            <w:r>
              <w:rPr>
                <w:rFonts w:hint="eastAsia" w:ascii="仿宋" w:hAnsi="仿宋" w:eastAsia="仿宋" w:cs="仿宋"/>
                <w:b w:val="0"/>
                <w:color w:val="000000"/>
                <w:kern w:val="0"/>
                <w:sz w:val="24"/>
                <w:szCs w:val="24"/>
                <w:u w:val="none" w:color="auto"/>
              </w:rPr>
              <w:t>设备到货，在资产管理处告知起一周内办理领用手续，即在规定时间将</w:t>
            </w:r>
            <w:r>
              <w:rPr>
                <w:rFonts w:hint="eastAsia" w:ascii="仿宋" w:hAnsi="仿宋" w:eastAsia="仿宋" w:cs="仿宋"/>
                <w:b w:val="0"/>
                <w:color w:val="000000"/>
                <w:kern w:val="0"/>
                <w:sz w:val="24"/>
                <w:szCs w:val="24"/>
                <w:u w:val="none" w:color="auto"/>
                <w:lang w:eastAsia="zh-CN"/>
              </w:rPr>
              <w:t>资产</w:t>
            </w:r>
            <w:r>
              <w:rPr>
                <w:rFonts w:hint="eastAsia" w:ascii="仿宋" w:hAnsi="仿宋" w:eastAsia="仿宋" w:cs="仿宋"/>
                <w:b w:val="0"/>
                <w:color w:val="000000"/>
                <w:kern w:val="0"/>
                <w:sz w:val="24"/>
                <w:szCs w:val="24"/>
                <w:u w:val="none" w:color="auto"/>
              </w:rPr>
              <w:t>设备领回申购部门，并填写领用单。若设备是直接送至使用部门，使用部门应及时告知资产管理处，办理领用手续。</w:t>
            </w:r>
          </w:p>
        </w:tc>
        <w:tc>
          <w:tcPr>
            <w:tcW w:w="1883" w:type="pct"/>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pPr>
              <w:widowControl/>
              <w:jc w:val="left"/>
              <w:rPr>
                <w:rFonts w:ascii="仿宋" w:hAnsi="仿宋" w:eastAsia="仿宋" w:cs="仿宋"/>
                <w:b w:val="0"/>
                <w:color w:val="000000"/>
                <w:kern w:val="0"/>
                <w:sz w:val="24"/>
                <w:szCs w:val="24"/>
                <w:u w:val="none" w:color="auto"/>
              </w:rPr>
            </w:pPr>
            <w:r>
              <w:rPr>
                <w:rFonts w:hint="eastAsia" w:ascii="仿宋" w:hAnsi="仿宋" w:eastAsia="仿宋" w:cs="仿宋"/>
                <w:b w:val="0"/>
                <w:color w:val="000000"/>
                <w:kern w:val="0"/>
                <w:sz w:val="24"/>
                <w:szCs w:val="24"/>
                <w:u w:val="none" w:color="auto"/>
              </w:rPr>
              <w:t>未按规定时间办理领用手续，一次扣1分。</w:t>
            </w:r>
          </w:p>
        </w:tc>
        <w:tc>
          <w:tcPr>
            <w:tcW w:w="547" w:type="pct"/>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pPr>
              <w:widowControl/>
              <w:jc w:val="center"/>
              <w:rPr>
                <w:rFonts w:ascii="仿宋" w:hAnsi="仿宋" w:eastAsia="仿宋" w:cs="仿宋"/>
                <w:b w:val="0"/>
                <w:color w:val="000000"/>
                <w:kern w:val="0"/>
                <w:sz w:val="24"/>
                <w:szCs w:val="24"/>
                <w:u w:val="none" w:color="auto"/>
              </w:rPr>
            </w:pPr>
          </w:p>
        </w:tc>
      </w:tr>
      <w:tr>
        <w:tblPrEx>
          <w:tblCellMar>
            <w:top w:w="0" w:type="dxa"/>
            <w:left w:w="0" w:type="dxa"/>
            <w:bottom w:w="0" w:type="dxa"/>
            <w:right w:w="0" w:type="dxa"/>
          </w:tblCellMar>
        </w:tblPrEx>
        <w:trPr>
          <w:trHeight w:val="1418" w:hRule="atLeast"/>
          <w:jc w:val="center"/>
        </w:trPr>
        <w:tc>
          <w:tcPr>
            <w:tcW w:w="434" w:type="pct"/>
            <w:vMerge w:val="restart"/>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pPr>
              <w:widowControl/>
              <w:jc w:val="center"/>
              <w:rPr>
                <w:rFonts w:ascii="仿宋" w:hAnsi="仿宋" w:eastAsia="仿宋" w:cs="仿宋"/>
                <w:b w:val="0"/>
                <w:color w:val="000000"/>
                <w:kern w:val="0"/>
                <w:sz w:val="24"/>
                <w:szCs w:val="24"/>
                <w:u w:val="none" w:color="auto"/>
              </w:rPr>
            </w:pPr>
          </w:p>
          <w:p>
            <w:pPr>
              <w:widowControl/>
              <w:jc w:val="center"/>
              <w:rPr>
                <w:rFonts w:ascii="仿宋" w:hAnsi="仿宋" w:eastAsia="仿宋" w:cs="仿宋"/>
                <w:b w:val="0"/>
                <w:color w:val="000000"/>
                <w:kern w:val="0"/>
                <w:sz w:val="24"/>
                <w:szCs w:val="24"/>
                <w:u w:val="none" w:color="auto"/>
              </w:rPr>
            </w:pPr>
          </w:p>
          <w:p>
            <w:pPr>
              <w:widowControl/>
              <w:jc w:val="center"/>
              <w:rPr>
                <w:rFonts w:hint="eastAsia" w:ascii="仿宋" w:hAnsi="仿宋" w:eastAsia="仿宋" w:cs="仿宋"/>
                <w:b w:val="0"/>
                <w:color w:val="000000"/>
                <w:kern w:val="0"/>
                <w:sz w:val="24"/>
                <w:szCs w:val="24"/>
                <w:u w:val="none" w:color="auto"/>
              </w:rPr>
            </w:pPr>
            <w:r>
              <w:rPr>
                <w:rFonts w:hint="eastAsia" w:ascii="仿宋" w:hAnsi="仿宋" w:eastAsia="仿宋" w:cs="仿宋"/>
                <w:b w:val="0"/>
                <w:color w:val="000000"/>
                <w:kern w:val="0"/>
                <w:sz w:val="24"/>
                <w:szCs w:val="24"/>
                <w:u w:val="none" w:color="auto"/>
              </w:rPr>
              <w:t>资产管理</w:t>
            </w:r>
          </w:p>
          <w:p>
            <w:pPr>
              <w:widowControl/>
              <w:jc w:val="center"/>
              <w:rPr>
                <w:rFonts w:ascii="仿宋" w:hAnsi="仿宋" w:eastAsia="仿宋" w:cs="仿宋"/>
                <w:b w:val="0"/>
                <w:color w:val="000000"/>
                <w:kern w:val="0"/>
                <w:sz w:val="24"/>
                <w:szCs w:val="24"/>
                <w:u w:val="none" w:color="auto"/>
              </w:rPr>
            </w:pPr>
            <w:r>
              <w:rPr>
                <w:rFonts w:hint="eastAsia" w:ascii="仿宋" w:hAnsi="仿宋" w:eastAsia="仿宋" w:cs="仿宋"/>
                <w:b w:val="0"/>
                <w:color w:val="000000"/>
                <w:kern w:val="0"/>
                <w:sz w:val="24"/>
                <w:szCs w:val="24"/>
                <w:u w:val="none" w:color="auto"/>
              </w:rPr>
              <w:t>（60分）</w:t>
            </w:r>
          </w:p>
          <w:p>
            <w:pPr>
              <w:widowControl/>
              <w:ind w:firstLine="230"/>
              <w:jc w:val="center"/>
              <w:rPr>
                <w:rFonts w:ascii="仿宋" w:hAnsi="仿宋" w:eastAsia="仿宋" w:cs="仿宋"/>
                <w:b w:val="0"/>
                <w:color w:val="000000"/>
                <w:kern w:val="0"/>
                <w:sz w:val="24"/>
                <w:szCs w:val="24"/>
                <w:u w:val="none" w:color="auto"/>
              </w:rPr>
            </w:pPr>
          </w:p>
        </w:tc>
        <w:tc>
          <w:tcPr>
            <w:tcW w:w="575" w:type="pct"/>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pPr>
              <w:widowControl/>
              <w:jc w:val="center"/>
              <w:rPr>
                <w:rFonts w:hint="default" w:ascii="仿宋" w:hAnsi="仿宋" w:eastAsia="仿宋" w:cs="仿宋"/>
                <w:b w:val="0"/>
                <w:color w:val="000000"/>
                <w:kern w:val="0"/>
                <w:sz w:val="24"/>
                <w:szCs w:val="24"/>
                <w:u w:val="none" w:color="auto"/>
                <w:lang w:val="en-US" w:eastAsia="zh-CN"/>
              </w:rPr>
            </w:pPr>
            <w:r>
              <w:rPr>
                <w:rFonts w:hint="eastAsia" w:ascii="仿宋" w:hAnsi="仿宋" w:eastAsia="仿宋" w:cs="仿宋"/>
                <w:b w:val="0"/>
                <w:color w:val="000000"/>
                <w:kern w:val="0"/>
                <w:sz w:val="24"/>
                <w:szCs w:val="24"/>
                <w:u w:val="none" w:color="auto"/>
                <w:lang w:val="en-US" w:eastAsia="zh-CN"/>
              </w:rPr>
              <w:t>资产建账管理</w:t>
            </w:r>
          </w:p>
          <w:p>
            <w:pPr>
              <w:widowControl/>
              <w:jc w:val="center"/>
              <w:rPr>
                <w:rFonts w:ascii="仿宋" w:hAnsi="仿宋" w:eastAsia="仿宋" w:cs="仿宋"/>
                <w:b w:val="0"/>
                <w:color w:val="000000"/>
                <w:kern w:val="0"/>
                <w:sz w:val="24"/>
                <w:szCs w:val="24"/>
                <w:u w:val="none" w:color="auto"/>
                <w:lang w:val="en-US" w:eastAsia="zh-CN" w:bidi="ar-SA"/>
              </w:rPr>
            </w:pPr>
            <w:r>
              <w:rPr>
                <w:rFonts w:hint="eastAsia" w:ascii="仿宋" w:hAnsi="仿宋" w:eastAsia="仿宋" w:cs="仿宋"/>
                <w:b w:val="0"/>
                <w:color w:val="000000"/>
                <w:kern w:val="0"/>
                <w:sz w:val="24"/>
                <w:szCs w:val="24"/>
                <w:u w:val="none" w:color="auto"/>
              </w:rPr>
              <w:t>（</w:t>
            </w:r>
            <w:r>
              <w:rPr>
                <w:rFonts w:hint="eastAsia" w:ascii="仿宋" w:hAnsi="仿宋" w:eastAsia="仿宋" w:cs="仿宋"/>
                <w:b w:val="0"/>
                <w:color w:val="000000"/>
                <w:kern w:val="0"/>
                <w:sz w:val="24"/>
                <w:szCs w:val="24"/>
                <w:u w:val="none" w:color="auto"/>
                <w:lang w:val="en-US" w:eastAsia="zh-CN"/>
              </w:rPr>
              <w:t>10</w:t>
            </w:r>
            <w:r>
              <w:rPr>
                <w:rFonts w:hint="eastAsia" w:ascii="仿宋" w:hAnsi="仿宋" w:eastAsia="仿宋" w:cs="仿宋"/>
                <w:b w:val="0"/>
                <w:color w:val="000000"/>
                <w:kern w:val="0"/>
                <w:sz w:val="24"/>
                <w:szCs w:val="24"/>
                <w:u w:val="none" w:color="auto"/>
              </w:rPr>
              <w:t>分）</w:t>
            </w:r>
          </w:p>
        </w:tc>
        <w:tc>
          <w:tcPr>
            <w:tcW w:w="1560" w:type="pct"/>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pPr>
              <w:widowControl/>
              <w:jc w:val="left"/>
              <w:rPr>
                <w:rFonts w:ascii="仿宋" w:hAnsi="仿宋" w:eastAsia="仿宋" w:cs="仿宋"/>
                <w:b w:val="0"/>
                <w:color w:val="000000"/>
                <w:kern w:val="0"/>
                <w:sz w:val="24"/>
                <w:szCs w:val="24"/>
                <w:u w:val="none" w:color="auto"/>
                <w:lang w:val="en-US" w:eastAsia="zh-CN" w:bidi="ar-SA"/>
              </w:rPr>
            </w:pPr>
            <w:r>
              <w:rPr>
                <w:rFonts w:hint="eastAsia" w:ascii="仿宋" w:hAnsi="仿宋" w:eastAsia="仿宋" w:cs="仿宋"/>
                <w:b w:val="0"/>
                <w:color w:val="000000"/>
                <w:kern w:val="0"/>
                <w:sz w:val="24"/>
                <w:szCs w:val="24"/>
                <w:u w:val="none" w:color="auto"/>
              </w:rPr>
              <w:t>各资产管理员必须熟练掌握资产管理系统，</w:t>
            </w:r>
            <w:r>
              <w:rPr>
                <w:rFonts w:hint="eastAsia" w:ascii="仿宋" w:hAnsi="仿宋" w:eastAsia="仿宋" w:cs="仿宋"/>
                <w:b w:val="0"/>
                <w:color w:val="000000"/>
                <w:kern w:val="0"/>
                <w:sz w:val="24"/>
                <w:szCs w:val="24"/>
                <w:u w:val="none" w:color="auto"/>
                <w:lang w:val="en-US" w:eastAsia="zh-CN"/>
              </w:rPr>
              <w:t>及时进行资产入库登记</w:t>
            </w:r>
            <w:r>
              <w:rPr>
                <w:rFonts w:hint="eastAsia" w:ascii="仿宋" w:hAnsi="仿宋" w:eastAsia="仿宋" w:cs="仿宋"/>
                <w:b w:val="0"/>
                <w:color w:val="000000"/>
                <w:kern w:val="0"/>
                <w:sz w:val="24"/>
                <w:szCs w:val="24"/>
                <w:u w:val="none" w:color="auto"/>
              </w:rPr>
              <w:t>，各部门需在</w:t>
            </w:r>
            <w:r>
              <w:rPr>
                <w:rFonts w:hint="eastAsia" w:ascii="仿宋" w:hAnsi="仿宋" w:eastAsia="仿宋" w:cs="仿宋"/>
                <w:b w:val="0"/>
                <w:color w:val="000000"/>
                <w:kern w:val="0"/>
                <w:sz w:val="24"/>
                <w:szCs w:val="24"/>
                <w:u w:val="none" w:color="auto"/>
                <w:lang w:val="en-US" w:eastAsia="zh-CN"/>
              </w:rPr>
              <w:t>资产验收后7个工作日内</w:t>
            </w:r>
            <w:r>
              <w:rPr>
                <w:rFonts w:hint="eastAsia" w:ascii="仿宋" w:hAnsi="仿宋" w:eastAsia="仿宋" w:cs="仿宋"/>
                <w:b w:val="0"/>
                <w:color w:val="000000"/>
                <w:kern w:val="0"/>
                <w:sz w:val="24"/>
                <w:szCs w:val="24"/>
                <w:u w:val="none" w:color="auto"/>
              </w:rPr>
              <w:t>完善各项资产信息（存放地点、使用人、使用方向等）。</w:t>
            </w:r>
          </w:p>
        </w:tc>
        <w:tc>
          <w:tcPr>
            <w:tcW w:w="1883" w:type="pct"/>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pPr>
              <w:widowControl/>
              <w:jc w:val="left"/>
              <w:rPr>
                <w:rFonts w:hint="default" w:ascii="仿宋" w:hAnsi="仿宋" w:eastAsia="仿宋" w:cs="仿宋"/>
                <w:b w:val="0"/>
                <w:color w:val="000000"/>
                <w:kern w:val="0"/>
                <w:sz w:val="24"/>
                <w:szCs w:val="24"/>
                <w:u w:val="none" w:color="auto"/>
                <w:lang w:val="en-US" w:eastAsia="zh-CN" w:bidi="ar-SA"/>
              </w:rPr>
            </w:pPr>
            <w:r>
              <w:rPr>
                <w:rFonts w:hint="eastAsia" w:ascii="仿宋" w:hAnsi="仿宋" w:eastAsia="仿宋" w:cs="仿宋"/>
                <w:b w:val="0"/>
                <w:color w:val="000000"/>
                <w:kern w:val="0"/>
                <w:sz w:val="24"/>
                <w:szCs w:val="24"/>
                <w:u w:val="none" w:color="auto"/>
              </w:rPr>
              <w:t>未在规定时间完成扣分，一次未完成扣1分。</w:t>
            </w:r>
          </w:p>
        </w:tc>
        <w:tc>
          <w:tcPr>
            <w:tcW w:w="547" w:type="pct"/>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pPr>
              <w:widowControl/>
              <w:jc w:val="center"/>
              <w:rPr>
                <w:rFonts w:ascii="仿宋" w:hAnsi="仿宋" w:eastAsia="仿宋" w:cs="仿宋"/>
                <w:b w:val="0"/>
                <w:color w:val="000000"/>
                <w:kern w:val="0"/>
                <w:sz w:val="24"/>
                <w:szCs w:val="24"/>
                <w:u w:val="none" w:color="auto"/>
                <w:lang w:val="en-US" w:eastAsia="zh-CN" w:bidi="ar-SA"/>
              </w:rPr>
            </w:pPr>
          </w:p>
        </w:tc>
      </w:tr>
      <w:tr>
        <w:tblPrEx>
          <w:tblCellMar>
            <w:top w:w="0" w:type="dxa"/>
            <w:left w:w="0" w:type="dxa"/>
            <w:bottom w:w="0" w:type="dxa"/>
            <w:right w:w="0" w:type="dxa"/>
          </w:tblCellMar>
        </w:tblPrEx>
        <w:trPr>
          <w:trHeight w:val="1760" w:hRule="atLeast"/>
          <w:jc w:val="center"/>
        </w:trPr>
        <w:tc>
          <w:tcPr>
            <w:tcW w:w="43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仿宋" w:hAnsi="仿宋" w:eastAsia="仿宋" w:cs="仿宋"/>
                <w:b w:val="0"/>
                <w:color w:val="000000"/>
                <w:kern w:val="0"/>
                <w:sz w:val="24"/>
                <w:szCs w:val="24"/>
                <w:u w:val="none" w:color="auto"/>
              </w:rPr>
            </w:pPr>
          </w:p>
        </w:tc>
        <w:tc>
          <w:tcPr>
            <w:tcW w:w="575" w:type="pct"/>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pPr>
              <w:widowControl/>
              <w:jc w:val="center"/>
              <w:rPr>
                <w:rFonts w:ascii="仿宋" w:hAnsi="仿宋" w:eastAsia="仿宋" w:cs="仿宋"/>
                <w:b w:val="0"/>
                <w:color w:val="000000"/>
                <w:kern w:val="0"/>
                <w:sz w:val="24"/>
                <w:szCs w:val="24"/>
                <w:u w:val="none" w:color="auto"/>
              </w:rPr>
            </w:pPr>
            <w:r>
              <w:rPr>
                <w:rFonts w:hint="eastAsia" w:ascii="仿宋" w:hAnsi="仿宋" w:eastAsia="仿宋" w:cs="仿宋"/>
                <w:b w:val="0"/>
                <w:color w:val="000000"/>
                <w:kern w:val="0"/>
                <w:sz w:val="24"/>
                <w:szCs w:val="24"/>
                <w:u w:val="none" w:color="auto"/>
              </w:rPr>
              <w:t>资产变动管理（</w:t>
            </w:r>
            <w:r>
              <w:rPr>
                <w:rFonts w:hint="eastAsia" w:ascii="仿宋" w:hAnsi="仿宋" w:eastAsia="仿宋" w:cs="仿宋"/>
                <w:b w:val="0"/>
                <w:color w:val="000000"/>
                <w:kern w:val="0"/>
                <w:sz w:val="24"/>
                <w:szCs w:val="24"/>
                <w:u w:val="none" w:color="auto"/>
                <w:lang w:val="en-US" w:eastAsia="zh-CN"/>
              </w:rPr>
              <w:t>15</w:t>
            </w:r>
            <w:r>
              <w:rPr>
                <w:rFonts w:hint="eastAsia" w:ascii="仿宋" w:hAnsi="仿宋" w:eastAsia="仿宋" w:cs="仿宋"/>
                <w:b w:val="0"/>
                <w:color w:val="000000"/>
                <w:kern w:val="0"/>
                <w:sz w:val="24"/>
                <w:szCs w:val="24"/>
                <w:u w:val="none" w:color="auto"/>
              </w:rPr>
              <w:t>分）</w:t>
            </w:r>
          </w:p>
        </w:tc>
        <w:tc>
          <w:tcPr>
            <w:tcW w:w="1560" w:type="pct"/>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pPr>
              <w:widowControl/>
              <w:jc w:val="left"/>
              <w:rPr>
                <w:rFonts w:hint="eastAsia" w:ascii="仿宋" w:hAnsi="仿宋" w:eastAsia="仿宋" w:cs="仿宋"/>
                <w:b w:val="0"/>
                <w:color w:val="000000"/>
                <w:kern w:val="0"/>
                <w:sz w:val="24"/>
                <w:szCs w:val="24"/>
                <w:u w:val="none" w:color="auto"/>
                <w:lang w:eastAsia="zh-CN"/>
              </w:rPr>
            </w:pPr>
            <w:r>
              <w:rPr>
                <w:rFonts w:hint="eastAsia" w:ascii="仿宋" w:hAnsi="仿宋" w:eastAsia="仿宋" w:cs="仿宋"/>
                <w:b w:val="0"/>
                <w:color w:val="000000"/>
                <w:kern w:val="0"/>
                <w:sz w:val="24"/>
                <w:szCs w:val="24"/>
                <w:u w:val="none" w:color="auto"/>
                <w:lang w:val="en-US" w:eastAsia="zh-CN"/>
              </w:rPr>
              <w:t>1.</w:t>
            </w:r>
            <w:r>
              <w:rPr>
                <w:rFonts w:hint="eastAsia" w:ascii="仿宋" w:hAnsi="仿宋" w:eastAsia="仿宋" w:cs="仿宋"/>
                <w:b w:val="0"/>
                <w:color w:val="000000"/>
                <w:kern w:val="0"/>
                <w:sz w:val="24"/>
                <w:szCs w:val="24"/>
                <w:u w:val="none" w:color="auto"/>
                <w:lang w:eastAsia="zh-CN"/>
              </w:rPr>
              <w:t>国有</w:t>
            </w:r>
            <w:r>
              <w:rPr>
                <w:rFonts w:hint="eastAsia" w:ascii="仿宋" w:hAnsi="仿宋" w:eastAsia="仿宋" w:cs="仿宋"/>
                <w:b w:val="0"/>
                <w:color w:val="000000"/>
                <w:kern w:val="0"/>
                <w:sz w:val="24"/>
                <w:szCs w:val="24"/>
                <w:u w:val="none" w:color="auto"/>
              </w:rPr>
              <w:t>资产出租、出借、调剂使用、变换存放地点、更换保管人员等即时做好</w:t>
            </w:r>
            <w:r>
              <w:rPr>
                <w:rFonts w:hint="eastAsia" w:ascii="仿宋" w:hAnsi="仿宋" w:eastAsia="仿宋" w:cs="仿宋"/>
                <w:b w:val="0"/>
                <w:color w:val="000000"/>
                <w:kern w:val="0"/>
                <w:sz w:val="24"/>
                <w:szCs w:val="24"/>
                <w:u w:val="none" w:color="auto"/>
                <w:lang w:eastAsia="zh-CN"/>
              </w:rPr>
              <w:t>信息</w:t>
            </w:r>
            <w:r>
              <w:rPr>
                <w:rFonts w:hint="eastAsia" w:ascii="仿宋" w:hAnsi="仿宋" w:eastAsia="仿宋" w:cs="仿宋"/>
                <w:b w:val="0"/>
                <w:color w:val="000000"/>
                <w:kern w:val="0"/>
                <w:sz w:val="24"/>
                <w:szCs w:val="24"/>
                <w:u w:val="none" w:color="auto"/>
              </w:rPr>
              <w:t>变更手续</w:t>
            </w:r>
            <w:r>
              <w:rPr>
                <w:rFonts w:hint="eastAsia" w:ascii="仿宋" w:hAnsi="仿宋" w:eastAsia="仿宋" w:cs="仿宋"/>
                <w:b w:val="0"/>
                <w:color w:val="000000"/>
                <w:kern w:val="0"/>
                <w:sz w:val="24"/>
                <w:szCs w:val="24"/>
                <w:u w:val="none" w:color="auto"/>
                <w:lang w:eastAsia="zh-CN"/>
              </w:rPr>
              <w:t>。</w:t>
            </w:r>
          </w:p>
          <w:p>
            <w:pPr>
              <w:widowControl/>
              <w:jc w:val="left"/>
              <w:rPr>
                <w:rFonts w:ascii="仿宋" w:hAnsi="仿宋" w:eastAsia="仿宋" w:cs="仿宋"/>
                <w:b w:val="0"/>
                <w:color w:val="000000"/>
                <w:kern w:val="0"/>
                <w:sz w:val="24"/>
                <w:szCs w:val="24"/>
                <w:u w:val="none" w:color="auto"/>
              </w:rPr>
            </w:pPr>
            <w:r>
              <w:rPr>
                <w:rFonts w:hint="eastAsia" w:ascii="仿宋" w:hAnsi="仿宋" w:eastAsia="仿宋" w:cs="仿宋"/>
                <w:b w:val="0"/>
                <w:color w:val="000000"/>
                <w:kern w:val="0"/>
                <w:sz w:val="24"/>
                <w:szCs w:val="24"/>
                <w:u w:val="none" w:color="auto"/>
                <w:lang w:val="en-US" w:eastAsia="zh-CN"/>
              </w:rPr>
              <w:t>2.</w:t>
            </w:r>
            <w:r>
              <w:rPr>
                <w:rFonts w:hint="eastAsia" w:ascii="仿宋" w:hAnsi="仿宋" w:eastAsia="仿宋" w:cs="仿宋"/>
                <w:b w:val="0"/>
                <w:color w:val="000000"/>
                <w:kern w:val="0"/>
                <w:sz w:val="24"/>
                <w:szCs w:val="24"/>
                <w:u w:val="none" w:color="auto"/>
              </w:rPr>
              <w:t>退休、调离、辞退等离岗离校人员办理了资产清退，无挂账资产。</w:t>
            </w:r>
          </w:p>
        </w:tc>
        <w:tc>
          <w:tcPr>
            <w:tcW w:w="1883" w:type="pct"/>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pPr>
              <w:widowControl/>
              <w:jc w:val="left"/>
              <w:rPr>
                <w:rFonts w:ascii="仿宋" w:hAnsi="仿宋" w:eastAsia="仿宋" w:cs="仿宋"/>
                <w:b w:val="0"/>
                <w:color w:val="000000"/>
                <w:kern w:val="0"/>
                <w:sz w:val="24"/>
                <w:szCs w:val="24"/>
                <w:u w:val="none" w:color="auto"/>
              </w:rPr>
            </w:pPr>
            <w:r>
              <w:rPr>
                <w:rFonts w:hint="eastAsia" w:ascii="仿宋" w:hAnsi="仿宋" w:eastAsia="仿宋" w:cs="仿宋"/>
                <w:b w:val="0"/>
                <w:color w:val="000000"/>
                <w:kern w:val="0"/>
                <w:sz w:val="24"/>
                <w:szCs w:val="24"/>
                <w:u w:val="none" w:color="auto"/>
                <w:lang w:val="en-US" w:eastAsia="zh-CN"/>
              </w:rPr>
              <w:t>1.</w:t>
            </w:r>
            <w:r>
              <w:rPr>
                <w:rFonts w:hint="eastAsia" w:ascii="仿宋" w:hAnsi="仿宋" w:eastAsia="仿宋" w:cs="仿宋"/>
                <w:b w:val="0"/>
                <w:color w:val="000000"/>
                <w:kern w:val="0"/>
                <w:sz w:val="24"/>
                <w:szCs w:val="24"/>
                <w:u w:val="none" w:color="auto"/>
              </w:rPr>
              <w:t>固定资产出租、出借、调剂使用、变换存放地点、更换保管人员未</w:t>
            </w:r>
            <w:r>
              <w:rPr>
                <w:rFonts w:hint="eastAsia" w:ascii="仿宋" w:hAnsi="仿宋" w:eastAsia="仿宋" w:cs="仿宋"/>
                <w:b w:val="0"/>
                <w:color w:val="000000"/>
                <w:kern w:val="0"/>
                <w:sz w:val="24"/>
                <w:szCs w:val="24"/>
                <w:u w:val="none" w:color="auto"/>
                <w:lang w:eastAsia="zh-CN"/>
              </w:rPr>
              <w:t>及时进行信息调整的，</w:t>
            </w:r>
            <w:r>
              <w:rPr>
                <w:rFonts w:hint="eastAsia" w:ascii="仿宋" w:hAnsi="仿宋" w:eastAsia="仿宋" w:cs="仿宋"/>
                <w:b w:val="0"/>
                <w:color w:val="000000"/>
                <w:kern w:val="0"/>
                <w:sz w:val="24"/>
                <w:szCs w:val="24"/>
                <w:u w:val="none" w:color="auto"/>
              </w:rPr>
              <w:t>每有一项扣2分。</w:t>
            </w:r>
          </w:p>
          <w:p>
            <w:pPr>
              <w:widowControl/>
              <w:jc w:val="left"/>
              <w:rPr>
                <w:rFonts w:ascii="仿宋" w:hAnsi="仿宋" w:eastAsia="仿宋" w:cs="仿宋"/>
                <w:b w:val="0"/>
                <w:color w:val="000000"/>
                <w:kern w:val="0"/>
                <w:sz w:val="24"/>
                <w:szCs w:val="24"/>
                <w:u w:val="none" w:color="auto"/>
              </w:rPr>
            </w:pPr>
            <w:r>
              <w:rPr>
                <w:rFonts w:hint="eastAsia" w:ascii="仿宋" w:hAnsi="仿宋" w:eastAsia="仿宋" w:cs="仿宋"/>
                <w:b w:val="0"/>
                <w:color w:val="000000"/>
                <w:kern w:val="0"/>
                <w:sz w:val="24"/>
                <w:szCs w:val="24"/>
                <w:u w:val="none" w:color="auto"/>
                <w:lang w:val="en-US" w:eastAsia="zh-CN"/>
              </w:rPr>
              <w:t>2.</w:t>
            </w:r>
            <w:r>
              <w:rPr>
                <w:rFonts w:hint="eastAsia" w:ascii="仿宋" w:hAnsi="仿宋" w:eastAsia="仿宋" w:cs="仿宋"/>
                <w:b w:val="0"/>
                <w:color w:val="000000"/>
                <w:kern w:val="0"/>
                <w:sz w:val="24"/>
                <w:szCs w:val="24"/>
                <w:u w:val="none" w:color="auto"/>
              </w:rPr>
              <w:t>退休、调离、辞退等离岗离校人员未办理资产清退每有一项扣2分。</w:t>
            </w:r>
          </w:p>
        </w:tc>
        <w:tc>
          <w:tcPr>
            <w:tcW w:w="547" w:type="pct"/>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pPr>
              <w:widowControl/>
              <w:jc w:val="center"/>
              <w:rPr>
                <w:rFonts w:ascii="仿宋" w:hAnsi="仿宋" w:eastAsia="仿宋" w:cs="仿宋"/>
                <w:b w:val="0"/>
                <w:color w:val="000000"/>
                <w:kern w:val="0"/>
                <w:sz w:val="24"/>
                <w:szCs w:val="24"/>
                <w:u w:val="none" w:color="auto"/>
              </w:rPr>
            </w:pPr>
          </w:p>
        </w:tc>
      </w:tr>
      <w:tr>
        <w:tblPrEx>
          <w:tblCellMar>
            <w:top w:w="0" w:type="dxa"/>
            <w:left w:w="0" w:type="dxa"/>
            <w:bottom w:w="0" w:type="dxa"/>
            <w:right w:w="0" w:type="dxa"/>
          </w:tblCellMar>
        </w:tblPrEx>
        <w:trPr>
          <w:trHeight w:val="944" w:hRule="atLeast"/>
          <w:jc w:val="center"/>
        </w:trPr>
        <w:tc>
          <w:tcPr>
            <w:tcW w:w="43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仿宋" w:hAnsi="仿宋" w:eastAsia="仿宋" w:cs="仿宋"/>
                <w:b w:val="0"/>
                <w:color w:val="000000"/>
                <w:kern w:val="0"/>
                <w:sz w:val="24"/>
                <w:szCs w:val="24"/>
                <w:u w:val="none" w:color="auto"/>
              </w:rPr>
            </w:pPr>
          </w:p>
        </w:tc>
        <w:tc>
          <w:tcPr>
            <w:tcW w:w="575" w:type="pct"/>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pPr>
              <w:widowControl/>
              <w:jc w:val="center"/>
              <w:rPr>
                <w:rFonts w:hint="eastAsia" w:ascii="仿宋" w:hAnsi="仿宋" w:eastAsia="仿宋" w:cs="仿宋"/>
                <w:b w:val="0"/>
                <w:color w:val="000000"/>
                <w:kern w:val="0"/>
                <w:sz w:val="24"/>
                <w:szCs w:val="24"/>
                <w:u w:val="none" w:color="auto"/>
              </w:rPr>
            </w:pPr>
            <w:r>
              <w:rPr>
                <w:rFonts w:hint="eastAsia" w:ascii="仿宋" w:hAnsi="仿宋" w:eastAsia="仿宋" w:cs="仿宋"/>
                <w:b w:val="0"/>
                <w:color w:val="000000"/>
                <w:kern w:val="0"/>
                <w:sz w:val="24"/>
                <w:szCs w:val="24"/>
                <w:u w:val="none" w:color="auto"/>
              </w:rPr>
              <w:t>标签粘贴</w:t>
            </w:r>
          </w:p>
          <w:p>
            <w:pPr>
              <w:widowControl/>
              <w:jc w:val="center"/>
              <w:rPr>
                <w:rFonts w:ascii="仿宋" w:hAnsi="仿宋" w:eastAsia="仿宋" w:cs="仿宋"/>
                <w:b w:val="0"/>
                <w:color w:val="000000"/>
                <w:kern w:val="0"/>
                <w:sz w:val="24"/>
                <w:szCs w:val="24"/>
                <w:u w:val="none" w:color="auto"/>
              </w:rPr>
            </w:pPr>
            <w:r>
              <w:rPr>
                <w:rFonts w:hint="eastAsia" w:ascii="仿宋" w:hAnsi="仿宋" w:eastAsia="仿宋" w:cs="仿宋"/>
                <w:b w:val="0"/>
                <w:color w:val="000000"/>
                <w:kern w:val="0"/>
                <w:sz w:val="24"/>
                <w:szCs w:val="24"/>
                <w:u w:val="none" w:color="auto"/>
              </w:rPr>
              <w:t>（5分）</w:t>
            </w:r>
          </w:p>
        </w:tc>
        <w:tc>
          <w:tcPr>
            <w:tcW w:w="1560" w:type="pct"/>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pPr>
              <w:widowControl/>
              <w:jc w:val="left"/>
              <w:rPr>
                <w:rFonts w:ascii="仿宋" w:hAnsi="仿宋" w:eastAsia="仿宋" w:cs="仿宋"/>
                <w:b w:val="0"/>
                <w:color w:val="000000"/>
                <w:kern w:val="0"/>
                <w:sz w:val="24"/>
                <w:szCs w:val="24"/>
                <w:u w:val="none" w:color="auto"/>
              </w:rPr>
            </w:pPr>
            <w:r>
              <w:rPr>
                <w:rFonts w:hint="eastAsia" w:ascii="仿宋" w:hAnsi="仿宋" w:eastAsia="仿宋" w:cs="仿宋"/>
                <w:b w:val="0"/>
                <w:color w:val="000000"/>
                <w:kern w:val="0"/>
                <w:sz w:val="24"/>
                <w:szCs w:val="24"/>
                <w:u w:val="none" w:color="auto"/>
              </w:rPr>
              <w:t>固定资产标签即时、全面、规范、准确粘贴。</w:t>
            </w:r>
          </w:p>
        </w:tc>
        <w:tc>
          <w:tcPr>
            <w:tcW w:w="1883" w:type="pct"/>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pPr>
              <w:widowControl/>
              <w:jc w:val="left"/>
              <w:rPr>
                <w:rFonts w:ascii="仿宋" w:hAnsi="仿宋" w:eastAsia="仿宋" w:cs="仿宋"/>
                <w:b w:val="0"/>
                <w:color w:val="000000"/>
                <w:kern w:val="0"/>
                <w:sz w:val="24"/>
                <w:szCs w:val="24"/>
                <w:u w:val="none" w:color="auto"/>
              </w:rPr>
            </w:pPr>
            <w:r>
              <w:rPr>
                <w:rFonts w:hint="eastAsia" w:ascii="仿宋" w:hAnsi="仿宋" w:eastAsia="仿宋" w:cs="仿宋"/>
                <w:b w:val="0"/>
                <w:color w:val="000000"/>
                <w:kern w:val="0"/>
                <w:sz w:val="24"/>
                <w:szCs w:val="24"/>
                <w:u w:val="none" w:color="auto"/>
              </w:rPr>
              <w:t>标签粘贴不即时扣1分、不全面扣1分、不规范扣1分、不准确扣2分。</w:t>
            </w:r>
          </w:p>
        </w:tc>
        <w:tc>
          <w:tcPr>
            <w:tcW w:w="547" w:type="pct"/>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pPr>
              <w:widowControl/>
              <w:jc w:val="center"/>
              <w:rPr>
                <w:rFonts w:ascii="仿宋" w:hAnsi="仿宋" w:eastAsia="仿宋" w:cs="仿宋"/>
                <w:b w:val="0"/>
                <w:color w:val="000000"/>
                <w:kern w:val="0"/>
                <w:sz w:val="24"/>
                <w:szCs w:val="24"/>
                <w:u w:val="none" w:color="auto"/>
              </w:rPr>
            </w:pPr>
          </w:p>
        </w:tc>
      </w:tr>
      <w:tr>
        <w:tblPrEx>
          <w:tblCellMar>
            <w:top w:w="0" w:type="dxa"/>
            <w:left w:w="0" w:type="dxa"/>
            <w:bottom w:w="0" w:type="dxa"/>
            <w:right w:w="0" w:type="dxa"/>
          </w:tblCellMar>
        </w:tblPrEx>
        <w:trPr>
          <w:trHeight w:val="1715" w:hRule="atLeast"/>
          <w:jc w:val="center"/>
        </w:trPr>
        <w:tc>
          <w:tcPr>
            <w:tcW w:w="43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仿宋" w:hAnsi="仿宋" w:eastAsia="仿宋" w:cs="仿宋"/>
                <w:b w:val="0"/>
                <w:color w:val="000000"/>
                <w:kern w:val="0"/>
                <w:sz w:val="24"/>
                <w:szCs w:val="24"/>
                <w:u w:val="none" w:color="auto"/>
              </w:rPr>
            </w:pPr>
          </w:p>
        </w:tc>
        <w:tc>
          <w:tcPr>
            <w:tcW w:w="575" w:type="pct"/>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pPr>
              <w:widowControl/>
              <w:jc w:val="center"/>
              <w:rPr>
                <w:rFonts w:ascii="仿宋" w:hAnsi="仿宋" w:eastAsia="仿宋" w:cs="仿宋"/>
                <w:b w:val="0"/>
                <w:color w:val="000000"/>
                <w:kern w:val="0"/>
                <w:sz w:val="24"/>
                <w:szCs w:val="24"/>
                <w:u w:val="none" w:color="auto"/>
              </w:rPr>
            </w:pPr>
            <w:r>
              <w:rPr>
                <w:rFonts w:hint="eastAsia" w:ascii="仿宋" w:hAnsi="仿宋" w:eastAsia="仿宋" w:cs="仿宋"/>
                <w:b w:val="0"/>
                <w:color w:val="000000"/>
                <w:kern w:val="0"/>
                <w:sz w:val="24"/>
                <w:szCs w:val="24"/>
                <w:u w:val="none" w:color="auto"/>
              </w:rPr>
              <w:t>资产维护管理（10分）</w:t>
            </w:r>
          </w:p>
        </w:tc>
        <w:tc>
          <w:tcPr>
            <w:tcW w:w="1560" w:type="pct"/>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pPr>
              <w:widowControl/>
              <w:jc w:val="left"/>
              <w:rPr>
                <w:rFonts w:ascii="仿宋" w:hAnsi="仿宋" w:eastAsia="仿宋" w:cs="仿宋"/>
                <w:b w:val="0"/>
                <w:color w:val="000000"/>
                <w:kern w:val="0"/>
                <w:sz w:val="24"/>
                <w:szCs w:val="24"/>
                <w:u w:val="none" w:color="auto"/>
              </w:rPr>
            </w:pPr>
            <w:r>
              <w:rPr>
                <w:rFonts w:hint="eastAsia" w:ascii="仿宋" w:hAnsi="仿宋" w:eastAsia="仿宋" w:cs="仿宋"/>
                <w:b w:val="0"/>
                <w:color w:val="000000"/>
                <w:kern w:val="0"/>
                <w:sz w:val="24"/>
                <w:szCs w:val="24"/>
                <w:u w:val="none" w:color="auto"/>
              </w:rPr>
              <w:t>重视资产日常维护保养，按照“清洁、润滑、调整、坚固、防腐、防潮”要求做好保养工作。室内环境整洁，桌面、地面、墙面、窗户与设备无灰尘，设备、家具及物品摆放整齐有序，无乱堆乱放现象。</w:t>
            </w:r>
          </w:p>
        </w:tc>
        <w:tc>
          <w:tcPr>
            <w:tcW w:w="1883" w:type="pct"/>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pPr>
              <w:widowControl/>
              <w:jc w:val="left"/>
              <w:rPr>
                <w:rFonts w:hint="eastAsia" w:ascii="仿宋" w:hAnsi="仿宋" w:eastAsia="仿宋" w:cs="仿宋"/>
                <w:b w:val="0"/>
                <w:color w:val="000000"/>
                <w:kern w:val="0"/>
                <w:sz w:val="24"/>
                <w:szCs w:val="24"/>
                <w:u w:val="none" w:color="auto"/>
              </w:rPr>
            </w:pPr>
            <w:r>
              <w:rPr>
                <w:rFonts w:hint="eastAsia" w:ascii="仿宋" w:hAnsi="仿宋" w:eastAsia="仿宋" w:cs="仿宋"/>
                <w:b w:val="0"/>
                <w:color w:val="000000"/>
                <w:kern w:val="0"/>
                <w:sz w:val="24"/>
                <w:szCs w:val="24"/>
                <w:u w:val="none" w:color="auto"/>
                <w:lang w:val="en-US" w:eastAsia="zh-CN"/>
              </w:rPr>
              <w:t>1.</w:t>
            </w:r>
            <w:r>
              <w:rPr>
                <w:rFonts w:hint="eastAsia" w:ascii="仿宋" w:hAnsi="仿宋" w:eastAsia="仿宋" w:cs="仿宋"/>
                <w:b w:val="0"/>
                <w:color w:val="000000"/>
                <w:kern w:val="0"/>
                <w:sz w:val="24"/>
                <w:szCs w:val="24"/>
                <w:u w:val="none" w:color="auto"/>
              </w:rPr>
              <w:t>桌面、地面、墙面、窗户清洁卫生不好扣2分；</w:t>
            </w:r>
          </w:p>
          <w:p>
            <w:pPr>
              <w:widowControl/>
              <w:jc w:val="left"/>
              <w:rPr>
                <w:rFonts w:ascii="仿宋" w:hAnsi="仿宋" w:eastAsia="仿宋" w:cs="仿宋"/>
                <w:b w:val="0"/>
                <w:color w:val="000000"/>
                <w:kern w:val="0"/>
                <w:sz w:val="24"/>
                <w:szCs w:val="24"/>
                <w:u w:val="none" w:color="auto"/>
              </w:rPr>
            </w:pPr>
            <w:r>
              <w:rPr>
                <w:rFonts w:hint="eastAsia" w:ascii="仿宋" w:hAnsi="仿宋" w:eastAsia="仿宋" w:cs="仿宋"/>
                <w:b w:val="0"/>
                <w:color w:val="000000"/>
                <w:kern w:val="0"/>
                <w:sz w:val="24"/>
                <w:szCs w:val="24"/>
                <w:u w:val="none" w:color="auto"/>
                <w:lang w:val="en-US" w:eastAsia="zh-CN"/>
              </w:rPr>
              <w:t>2.</w:t>
            </w:r>
            <w:r>
              <w:rPr>
                <w:rFonts w:hint="eastAsia" w:ascii="仿宋" w:hAnsi="仿宋" w:eastAsia="仿宋" w:cs="仿宋"/>
                <w:b w:val="0"/>
                <w:color w:val="000000"/>
                <w:kern w:val="0"/>
                <w:sz w:val="24"/>
                <w:szCs w:val="24"/>
                <w:u w:val="none" w:color="auto"/>
              </w:rPr>
              <w:t>设备清洁卫生不好扣2分；摆放不整齐扣2分；零配件松动扣2分；设备严重腐蚀扣2分。</w:t>
            </w:r>
          </w:p>
        </w:tc>
        <w:tc>
          <w:tcPr>
            <w:tcW w:w="547" w:type="pct"/>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pPr>
              <w:widowControl/>
              <w:jc w:val="center"/>
              <w:rPr>
                <w:rFonts w:ascii="仿宋" w:hAnsi="仿宋" w:eastAsia="仿宋" w:cs="仿宋"/>
                <w:b w:val="0"/>
                <w:color w:val="000000"/>
                <w:kern w:val="0"/>
                <w:sz w:val="24"/>
                <w:szCs w:val="24"/>
                <w:u w:val="none" w:color="auto"/>
              </w:rPr>
            </w:pPr>
          </w:p>
        </w:tc>
      </w:tr>
      <w:tr>
        <w:tblPrEx>
          <w:tblCellMar>
            <w:top w:w="0" w:type="dxa"/>
            <w:left w:w="0" w:type="dxa"/>
            <w:bottom w:w="0" w:type="dxa"/>
            <w:right w:w="0" w:type="dxa"/>
          </w:tblCellMar>
        </w:tblPrEx>
        <w:trPr>
          <w:trHeight w:val="2072" w:hRule="atLeast"/>
          <w:jc w:val="center"/>
        </w:trPr>
        <w:tc>
          <w:tcPr>
            <w:tcW w:w="43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仿宋" w:hAnsi="仿宋" w:eastAsia="仿宋" w:cs="仿宋"/>
                <w:b w:val="0"/>
                <w:color w:val="000000"/>
                <w:kern w:val="0"/>
                <w:sz w:val="24"/>
                <w:szCs w:val="24"/>
                <w:u w:val="none" w:color="auto"/>
              </w:rPr>
            </w:pPr>
          </w:p>
        </w:tc>
        <w:tc>
          <w:tcPr>
            <w:tcW w:w="575" w:type="pct"/>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pPr>
              <w:widowControl/>
              <w:jc w:val="center"/>
              <w:rPr>
                <w:rFonts w:ascii="仿宋" w:hAnsi="仿宋" w:eastAsia="仿宋" w:cs="仿宋"/>
                <w:b w:val="0"/>
                <w:color w:val="000000"/>
                <w:kern w:val="0"/>
                <w:sz w:val="24"/>
                <w:szCs w:val="24"/>
                <w:u w:val="none" w:color="auto"/>
              </w:rPr>
            </w:pPr>
            <w:r>
              <w:rPr>
                <w:rFonts w:hint="eastAsia" w:ascii="仿宋" w:hAnsi="仿宋" w:eastAsia="仿宋" w:cs="仿宋"/>
                <w:b w:val="0"/>
                <w:color w:val="000000"/>
                <w:kern w:val="0"/>
                <w:sz w:val="24"/>
                <w:szCs w:val="24"/>
                <w:u w:val="none" w:color="auto"/>
              </w:rPr>
              <w:t>资产安全管理（</w:t>
            </w:r>
            <w:r>
              <w:rPr>
                <w:rFonts w:hint="eastAsia" w:ascii="仿宋" w:hAnsi="仿宋" w:eastAsia="仿宋" w:cs="仿宋"/>
                <w:b w:val="0"/>
                <w:color w:val="000000"/>
                <w:kern w:val="0"/>
                <w:sz w:val="24"/>
                <w:szCs w:val="24"/>
                <w:u w:val="none" w:color="auto"/>
                <w:lang w:val="en-US" w:eastAsia="zh-CN"/>
              </w:rPr>
              <w:t>10</w:t>
            </w:r>
            <w:r>
              <w:rPr>
                <w:rFonts w:hint="eastAsia" w:ascii="仿宋" w:hAnsi="仿宋" w:eastAsia="仿宋" w:cs="仿宋"/>
                <w:b w:val="0"/>
                <w:color w:val="000000"/>
                <w:kern w:val="0"/>
                <w:sz w:val="24"/>
                <w:szCs w:val="24"/>
                <w:u w:val="none" w:color="auto"/>
              </w:rPr>
              <w:t>分）</w:t>
            </w:r>
          </w:p>
        </w:tc>
        <w:tc>
          <w:tcPr>
            <w:tcW w:w="1560" w:type="pct"/>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pPr>
              <w:widowControl/>
              <w:jc w:val="left"/>
              <w:rPr>
                <w:rFonts w:ascii="仿宋" w:hAnsi="仿宋" w:eastAsia="仿宋" w:cs="仿宋"/>
                <w:b w:val="0"/>
                <w:color w:val="000000"/>
                <w:kern w:val="0"/>
                <w:sz w:val="24"/>
                <w:szCs w:val="24"/>
                <w:u w:val="none" w:color="auto"/>
              </w:rPr>
            </w:pPr>
            <w:r>
              <w:rPr>
                <w:rFonts w:hint="eastAsia" w:ascii="仿宋" w:hAnsi="仿宋" w:eastAsia="仿宋" w:cs="仿宋"/>
                <w:b w:val="0"/>
                <w:color w:val="000000"/>
                <w:kern w:val="0"/>
                <w:sz w:val="24"/>
                <w:szCs w:val="24"/>
                <w:u w:val="none" w:color="auto"/>
                <w:lang w:val="en-US" w:eastAsia="zh-CN"/>
              </w:rPr>
              <w:t>1.</w:t>
            </w:r>
            <w:r>
              <w:rPr>
                <w:rFonts w:hint="eastAsia" w:ascii="仿宋" w:hAnsi="仿宋" w:eastAsia="仿宋" w:cs="仿宋"/>
                <w:b w:val="0"/>
                <w:color w:val="000000"/>
                <w:kern w:val="0"/>
                <w:sz w:val="24"/>
                <w:szCs w:val="24"/>
                <w:u w:val="none" w:color="auto"/>
              </w:rPr>
              <w:t>设备出现故障或损坏，立即组织维修，未出现带病运行。</w:t>
            </w:r>
          </w:p>
          <w:p>
            <w:pPr>
              <w:widowControl/>
              <w:jc w:val="left"/>
              <w:rPr>
                <w:rFonts w:ascii="仿宋" w:hAnsi="仿宋" w:eastAsia="仿宋" w:cs="仿宋"/>
                <w:b w:val="0"/>
                <w:color w:val="000000"/>
                <w:kern w:val="0"/>
                <w:sz w:val="24"/>
                <w:szCs w:val="24"/>
                <w:u w:val="none" w:color="auto"/>
              </w:rPr>
            </w:pPr>
            <w:r>
              <w:rPr>
                <w:rFonts w:hint="eastAsia" w:ascii="仿宋" w:hAnsi="仿宋" w:eastAsia="仿宋" w:cs="仿宋"/>
                <w:b w:val="0"/>
                <w:color w:val="000000"/>
                <w:kern w:val="0"/>
                <w:sz w:val="24"/>
                <w:szCs w:val="24"/>
                <w:u w:val="none" w:color="auto"/>
                <w:lang w:val="en-US" w:eastAsia="zh-CN"/>
              </w:rPr>
              <w:t>2.</w:t>
            </w:r>
            <w:r>
              <w:rPr>
                <w:rFonts w:hint="eastAsia" w:ascii="仿宋" w:hAnsi="仿宋" w:eastAsia="仿宋" w:cs="仿宋"/>
                <w:b w:val="0"/>
                <w:color w:val="000000"/>
                <w:kern w:val="0"/>
                <w:sz w:val="24"/>
                <w:szCs w:val="24"/>
                <w:u w:val="none" w:color="auto"/>
              </w:rPr>
              <w:t>经常组织安全检查，消除安全隐患，关好门窗与水电，做好防盗、防火、防洪等工作，出现安全事故，积极配合有关部门进行责任调查。</w:t>
            </w:r>
          </w:p>
        </w:tc>
        <w:tc>
          <w:tcPr>
            <w:tcW w:w="1883" w:type="pct"/>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pPr>
              <w:widowControl/>
              <w:jc w:val="left"/>
              <w:rPr>
                <w:rFonts w:ascii="仿宋" w:hAnsi="仿宋" w:eastAsia="仿宋" w:cs="仿宋"/>
                <w:b w:val="0"/>
                <w:color w:val="000000"/>
                <w:kern w:val="0"/>
                <w:sz w:val="24"/>
                <w:szCs w:val="24"/>
                <w:u w:val="none" w:color="auto"/>
              </w:rPr>
            </w:pPr>
            <w:r>
              <w:rPr>
                <w:rFonts w:hint="eastAsia" w:ascii="仿宋" w:hAnsi="仿宋" w:eastAsia="仿宋" w:cs="仿宋"/>
                <w:b w:val="0"/>
                <w:color w:val="000000"/>
                <w:kern w:val="0"/>
                <w:sz w:val="24"/>
                <w:szCs w:val="24"/>
                <w:u w:val="none" w:color="auto"/>
                <w:lang w:val="en-US" w:eastAsia="zh-CN"/>
              </w:rPr>
              <w:t>1.设备出现</w:t>
            </w:r>
            <w:r>
              <w:rPr>
                <w:rFonts w:hint="eastAsia" w:ascii="仿宋" w:hAnsi="仿宋" w:eastAsia="仿宋" w:cs="仿宋"/>
                <w:b w:val="0"/>
                <w:color w:val="000000"/>
                <w:kern w:val="0"/>
                <w:sz w:val="24"/>
                <w:szCs w:val="24"/>
                <w:u w:val="none" w:color="auto"/>
              </w:rPr>
              <w:t>故障或损坏不组织维修扣2分。</w:t>
            </w:r>
          </w:p>
          <w:p>
            <w:pPr>
              <w:widowControl/>
              <w:jc w:val="left"/>
              <w:rPr>
                <w:rFonts w:ascii="仿宋" w:hAnsi="仿宋" w:eastAsia="仿宋" w:cs="仿宋"/>
                <w:b w:val="0"/>
                <w:color w:val="000000"/>
                <w:kern w:val="0"/>
                <w:sz w:val="24"/>
                <w:szCs w:val="24"/>
                <w:u w:val="none" w:color="auto"/>
              </w:rPr>
            </w:pPr>
            <w:r>
              <w:rPr>
                <w:rFonts w:hint="eastAsia" w:ascii="仿宋" w:hAnsi="仿宋" w:eastAsia="仿宋" w:cs="仿宋"/>
                <w:b w:val="0"/>
                <w:color w:val="000000"/>
                <w:kern w:val="0"/>
                <w:sz w:val="24"/>
                <w:szCs w:val="24"/>
                <w:u w:val="none" w:color="auto"/>
                <w:lang w:val="en-US" w:eastAsia="zh-CN"/>
              </w:rPr>
              <w:t>2.</w:t>
            </w:r>
            <w:r>
              <w:rPr>
                <w:rFonts w:hint="eastAsia" w:ascii="仿宋" w:hAnsi="仿宋" w:eastAsia="仿宋" w:cs="仿宋"/>
                <w:b w:val="0"/>
                <w:color w:val="000000"/>
                <w:kern w:val="0"/>
                <w:sz w:val="24"/>
                <w:szCs w:val="24"/>
                <w:u w:val="none" w:color="auto"/>
              </w:rPr>
              <w:t>出现盗窃、火灾、水淹等险情但未造成损失每种情况扣1分；出现事故不积极配合调查扣3分。</w:t>
            </w:r>
          </w:p>
        </w:tc>
        <w:tc>
          <w:tcPr>
            <w:tcW w:w="547" w:type="pct"/>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pPr>
              <w:widowControl/>
              <w:jc w:val="center"/>
              <w:rPr>
                <w:rFonts w:ascii="仿宋" w:hAnsi="仿宋" w:eastAsia="仿宋" w:cs="仿宋"/>
                <w:b w:val="0"/>
                <w:color w:val="000000"/>
                <w:kern w:val="0"/>
                <w:sz w:val="24"/>
                <w:szCs w:val="24"/>
                <w:u w:val="none" w:color="auto"/>
              </w:rPr>
            </w:pPr>
          </w:p>
        </w:tc>
      </w:tr>
      <w:tr>
        <w:tblPrEx>
          <w:tblCellMar>
            <w:top w:w="0" w:type="dxa"/>
            <w:left w:w="0" w:type="dxa"/>
            <w:bottom w:w="0" w:type="dxa"/>
            <w:right w:w="0" w:type="dxa"/>
          </w:tblCellMar>
        </w:tblPrEx>
        <w:trPr>
          <w:trHeight w:val="944" w:hRule="atLeast"/>
          <w:jc w:val="center"/>
        </w:trPr>
        <w:tc>
          <w:tcPr>
            <w:tcW w:w="43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仿宋" w:hAnsi="仿宋" w:eastAsia="仿宋" w:cs="仿宋"/>
                <w:b w:val="0"/>
                <w:color w:val="000000"/>
                <w:kern w:val="0"/>
                <w:sz w:val="24"/>
                <w:szCs w:val="24"/>
                <w:u w:val="none" w:color="auto"/>
              </w:rPr>
            </w:pPr>
          </w:p>
        </w:tc>
        <w:tc>
          <w:tcPr>
            <w:tcW w:w="575" w:type="pct"/>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pPr>
              <w:widowControl/>
              <w:jc w:val="center"/>
              <w:rPr>
                <w:rFonts w:hint="eastAsia" w:ascii="仿宋" w:hAnsi="仿宋" w:eastAsia="仿宋" w:cs="仿宋"/>
                <w:b w:val="0"/>
                <w:color w:val="000000"/>
                <w:kern w:val="0"/>
                <w:sz w:val="24"/>
                <w:szCs w:val="24"/>
                <w:u w:val="none" w:color="auto"/>
              </w:rPr>
            </w:pPr>
            <w:r>
              <w:rPr>
                <w:rFonts w:hint="eastAsia" w:ascii="仿宋" w:hAnsi="仿宋" w:eastAsia="仿宋" w:cs="仿宋"/>
                <w:b w:val="0"/>
                <w:color w:val="000000"/>
                <w:kern w:val="0"/>
                <w:sz w:val="24"/>
                <w:szCs w:val="24"/>
                <w:u w:val="none" w:color="auto"/>
              </w:rPr>
              <w:t>对账工作</w:t>
            </w:r>
          </w:p>
          <w:p>
            <w:pPr>
              <w:widowControl/>
              <w:jc w:val="center"/>
              <w:rPr>
                <w:rFonts w:ascii="仿宋" w:hAnsi="仿宋" w:eastAsia="仿宋" w:cs="仿宋"/>
                <w:b w:val="0"/>
                <w:color w:val="000000"/>
                <w:kern w:val="0"/>
                <w:sz w:val="24"/>
                <w:szCs w:val="24"/>
                <w:u w:val="none" w:color="auto"/>
              </w:rPr>
            </w:pPr>
            <w:r>
              <w:rPr>
                <w:rFonts w:hint="eastAsia" w:ascii="仿宋" w:hAnsi="仿宋" w:eastAsia="仿宋" w:cs="仿宋"/>
                <w:b w:val="0"/>
                <w:color w:val="000000"/>
                <w:kern w:val="0"/>
                <w:sz w:val="24"/>
                <w:szCs w:val="24"/>
                <w:u w:val="none" w:color="auto"/>
              </w:rPr>
              <w:t>（</w:t>
            </w:r>
            <w:r>
              <w:rPr>
                <w:rFonts w:hint="eastAsia" w:ascii="仿宋" w:hAnsi="仿宋" w:eastAsia="仿宋" w:cs="仿宋"/>
                <w:b w:val="0"/>
                <w:color w:val="000000"/>
                <w:kern w:val="0"/>
                <w:sz w:val="24"/>
                <w:szCs w:val="24"/>
                <w:u w:val="none" w:color="auto"/>
                <w:lang w:val="en-US" w:eastAsia="zh-CN"/>
              </w:rPr>
              <w:t>10</w:t>
            </w:r>
            <w:r>
              <w:rPr>
                <w:rFonts w:hint="eastAsia" w:ascii="仿宋" w:hAnsi="仿宋" w:eastAsia="仿宋" w:cs="仿宋"/>
                <w:b w:val="0"/>
                <w:color w:val="000000"/>
                <w:kern w:val="0"/>
                <w:sz w:val="24"/>
                <w:szCs w:val="24"/>
                <w:u w:val="none" w:color="auto"/>
              </w:rPr>
              <w:t>分）</w:t>
            </w:r>
          </w:p>
        </w:tc>
        <w:tc>
          <w:tcPr>
            <w:tcW w:w="1560" w:type="pct"/>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pPr>
              <w:widowControl/>
              <w:jc w:val="left"/>
              <w:rPr>
                <w:rFonts w:ascii="仿宋" w:hAnsi="仿宋" w:eastAsia="仿宋" w:cs="仿宋"/>
                <w:b w:val="0"/>
                <w:color w:val="000000"/>
                <w:kern w:val="0"/>
                <w:sz w:val="24"/>
                <w:szCs w:val="24"/>
                <w:u w:val="none" w:color="auto"/>
              </w:rPr>
            </w:pPr>
            <w:r>
              <w:rPr>
                <w:rFonts w:hint="eastAsia" w:ascii="仿宋" w:hAnsi="仿宋" w:eastAsia="仿宋" w:cs="仿宋"/>
                <w:b w:val="0"/>
                <w:color w:val="000000"/>
                <w:kern w:val="0"/>
                <w:sz w:val="24"/>
                <w:szCs w:val="24"/>
                <w:u w:val="none" w:color="auto"/>
                <w:lang w:val="en-US" w:eastAsia="zh-CN"/>
              </w:rPr>
              <w:t>1.</w:t>
            </w:r>
            <w:r>
              <w:rPr>
                <w:rFonts w:hint="eastAsia" w:ascii="仿宋" w:hAnsi="仿宋" w:eastAsia="仿宋" w:cs="仿宋"/>
                <w:b w:val="0"/>
                <w:color w:val="000000"/>
                <w:kern w:val="0"/>
                <w:sz w:val="24"/>
                <w:szCs w:val="24"/>
                <w:u w:val="none" w:color="auto"/>
              </w:rPr>
              <w:t>加强资产账实核对，账账核对，每年</w:t>
            </w:r>
            <w:r>
              <w:rPr>
                <w:rFonts w:hint="eastAsia" w:ascii="仿宋" w:hAnsi="仿宋" w:eastAsia="仿宋" w:cs="仿宋"/>
                <w:b w:val="0"/>
                <w:color w:val="000000"/>
                <w:kern w:val="0"/>
                <w:sz w:val="24"/>
                <w:szCs w:val="24"/>
                <w:u w:val="none" w:color="auto"/>
                <w:lang w:eastAsia="zh-CN"/>
              </w:rPr>
              <w:t>按学院要求</w:t>
            </w:r>
            <w:r>
              <w:rPr>
                <w:rFonts w:hint="eastAsia" w:ascii="仿宋" w:hAnsi="仿宋" w:eastAsia="仿宋" w:cs="仿宋"/>
                <w:b w:val="0"/>
                <w:color w:val="000000"/>
                <w:kern w:val="0"/>
                <w:sz w:val="24"/>
                <w:szCs w:val="24"/>
                <w:u w:val="none" w:color="auto"/>
              </w:rPr>
              <w:t>组织一次资产清查盘点。</w:t>
            </w:r>
          </w:p>
        </w:tc>
        <w:tc>
          <w:tcPr>
            <w:tcW w:w="1883" w:type="pct"/>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pPr>
              <w:widowControl/>
              <w:jc w:val="left"/>
              <w:rPr>
                <w:rFonts w:ascii="仿宋" w:hAnsi="仿宋" w:eastAsia="仿宋" w:cs="仿宋"/>
                <w:b w:val="0"/>
                <w:color w:val="000000"/>
                <w:kern w:val="0"/>
                <w:sz w:val="24"/>
                <w:szCs w:val="24"/>
                <w:u w:val="none" w:color="auto"/>
              </w:rPr>
            </w:pPr>
            <w:r>
              <w:rPr>
                <w:rFonts w:hint="eastAsia" w:ascii="仿宋" w:hAnsi="仿宋" w:eastAsia="仿宋" w:cs="仿宋"/>
                <w:b w:val="0"/>
                <w:color w:val="000000"/>
                <w:kern w:val="0"/>
                <w:sz w:val="24"/>
                <w:szCs w:val="24"/>
                <w:u w:val="none" w:color="auto"/>
              </w:rPr>
              <w:t>未</w:t>
            </w:r>
            <w:r>
              <w:rPr>
                <w:rFonts w:hint="eastAsia" w:ascii="仿宋" w:hAnsi="仿宋" w:eastAsia="仿宋" w:cs="仿宋"/>
                <w:b w:val="0"/>
                <w:color w:val="000000"/>
                <w:kern w:val="0"/>
                <w:sz w:val="24"/>
                <w:szCs w:val="24"/>
                <w:u w:val="none" w:color="auto"/>
                <w:lang w:eastAsia="zh-CN"/>
              </w:rPr>
              <w:t>及时、按要求</w:t>
            </w:r>
            <w:r>
              <w:rPr>
                <w:rFonts w:hint="eastAsia" w:ascii="仿宋" w:hAnsi="仿宋" w:eastAsia="仿宋" w:cs="仿宋"/>
                <w:b w:val="0"/>
                <w:color w:val="000000"/>
                <w:kern w:val="0"/>
                <w:sz w:val="24"/>
                <w:szCs w:val="24"/>
                <w:u w:val="none" w:color="auto"/>
              </w:rPr>
              <w:t>组织资产清查盘点扣3分。</w:t>
            </w:r>
          </w:p>
        </w:tc>
        <w:tc>
          <w:tcPr>
            <w:tcW w:w="547" w:type="pct"/>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pPr>
              <w:widowControl/>
              <w:jc w:val="center"/>
              <w:rPr>
                <w:rFonts w:ascii="仿宋" w:hAnsi="仿宋" w:eastAsia="仿宋" w:cs="仿宋"/>
                <w:b w:val="0"/>
                <w:color w:val="000000"/>
                <w:kern w:val="0"/>
                <w:sz w:val="24"/>
                <w:szCs w:val="24"/>
                <w:u w:val="none" w:color="auto"/>
              </w:rPr>
            </w:pPr>
          </w:p>
        </w:tc>
      </w:tr>
      <w:tr>
        <w:tblPrEx>
          <w:tblCellMar>
            <w:top w:w="0" w:type="dxa"/>
            <w:left w:w="0" w:type="dxa"/>
            <w:bottom w:w="0" w:type="dxa"/>
            <w:right w:w="0" w:type="dxa"/>
          </w:tblCellMar>
        </w:tblPrEx>
        <w:trPr>
          <w:trHeight w:val="1325" w:hRule="atLeast"/>
          <w:jc w:val="center"/>
        </w:trPr>
        <w:tc>
          <w:tcPr>
            <w:tcW w:w="4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仿宋" w:hAnsi="仿宋" w:eastAsia="仿宋" w:cs="仿宋"/>
                <w:b w:val="0"/>
                <w:color w:val="000000"/>
                <w:kern w:val="0"/>
                <w:sz w:val="24"/>
                <w:szCs w:val="24"/>
                <w:u w:val="none" w:color="auto"/>
              </w:rPr>
            </w:pPr>
            <w:r>
              <w:rPr>
                <w:rFonts w:hint="eastAsia" w:ascii="仿宋" w:hAnsi="仿宋" w:eastAsia="仿宋" w:cs="仿宋"/>
                <w:b w:val="0"/>
                <w:color w:val="000000"/>
                <w:kern w:val="0"/>
                <w:sz w:val="24"/>
                <w:szCs w:val="24"/>
                <w:u w:val="none" w:color="auto"/>
              </w:rPr>
              <w:t>资产处置（10分）</w:t>
            </w:r>
          </w:p>
        </w:tc>
        <w:tc>
          <w:tcPr>
            <w:tcW w:w="575" w:type="pct"/>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pPr>
              <w:widowControl/>
              <w:jc w:val="center"/>
              <w:rPr>
                <w:rFonts w:hint="eastAsia" w:ascii="仿宋" w:hAnsi="仿宋" w:eastAsia="仿宋" w:cs="仿宋"/>
                <w:b w:val="0"/>
                <w:color w:val="000000"/>
                <w:kern w:val="0"/>
                <w:sz w:val="24"/>
                <w:szCs w:val="24"/>
                <w:u w:val="none" w:color="auto"/>
                <w:lang w:eastAsia="zh-CN"/>
              </w:rPr>
            </w:pPr>
            <w:r>
              <w:rPr>
                <w:rFonts w:hint="eastAsia" w:ascii="仿宋" w:hAnsi="仿宋" w:eastAsia="仿宋" w:cs="仿宋"/>
                <w:b w:val="0"/>
                <w:color w:val="000000"/>
                <w:kern w:val="0"/>
                <w:sz w:val="24"/>
                <w:szCs w:val="24"/>
                <w:u w:val="none" w:color="auto"/>
              </w:rPr>
              <w:t>资产</w:t>
            </w:r>
            <w:r>
              <w:rPr>
                <w:rFonts w:hint="eastAsia" w:ascii="仿宋" w:hAnsi="仿宋" w:eastAsia="仿宋" w:cs="仿宋"/>
                <w:b w:val="0"/>
                <w:color w:val="000000"/>
                <w:kern w:val="0"/>
                <w:sz w:val="24"/>
                <w:szCs w:val="24"/>
                <w:u w:val="none" w:color="auto"/>
                <w:lang w:val="en-US" w:eastAsia="zh-CN"/>
              </w:rPr>
              <w:t>处置</w:t>
            </w:r>
          </w:p>
          <w:p>
            <w:pPr>
              <w:widowControl/>
              <w:jc w:val="center"/>
              <w:rPr>
                <w:rFonts w:hint="eastAsia" w:ascii="仿宋" w:hAnsi="仿宋" w:eastAsia="仿宋" w:cs="仿宋"/>
                <w:b w:val="0"/>
                <w:color w:val="000000"/>
                <w:kern w:val="0"/>
                <w:sz w:val="24"/>
                <w:szCs w:val="24"/>
                <w:u w:val="none" w:color="auto"/>
              </w:rPr>
            </w:pPr>
            <w:r>
              <w:rPr>
                <w:rFonts w:hint="eastAsia" w:ascii="仿宋" w:hAnsi="仿宋" w:eastAsia="仿宋" w:cs="仿宋"/>
                <w:b w:val="0"/>
                <w:color w:val="000000"/>
                <w:kern w:val="0"/>
                <w:sz w:val="24"/>
                <w:szCs w:val="24"/>
                <w:u w:val="none" w:color="auto"/>
              </w:rPr>
              <w:t>（10分）</w:t>
            </w:r>
          </w:p>
        </w:tc>
        <w:tc>
          <w:tcPr>
            <w:tcW w:w="1560" w:type="pct"/>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pPr>
              <w:widowControl/>
              <w:jc w:val="left"/>
              <w:rPr>
                <w:rFonts w:hint="eastAsia" w:ascii="仿宋" w:hAnsi="仿宋" w:eastAsia="仿宋" w:cs="仿宋"/>
                <w:b w:val="0"/>
                <w:color w:val="000000"/>
                <w:kern w:val="0"/>
                <w:sz w:val="24"/>
                <w:szCs w:val="24"/>
                <w:u w:val="none" w:color="auto"/>
              </w:rPr>
            </w:pPr>
            <w:r>
              <w:rPr>
                <w:rFonts w:hint="eastAsia" w:ascii="仿宋" w:hAnsi="仿宋" w:eastAsia="仿宋" w:cs="仿宋"/>
                <w:b w:val="0"/>
                <w:color w:val="000000"/>
                <w:kern w:val="0"/>
                <w:sz w:val="24"/>
                <w:szCs w:val="24"/>
                <w:u w:val="none" w:color="auto"/>
              </w:rPr>
              <w:t>固定资产</w:t>
            </w:r>
            <w:r>
              <w:rPr>
                <w:rFonts w:hint="eastAsia" w:ascii="仿宋" w:hAnsi="仿宋" w:eastAsia="仿宋" w:cs="仿宋"/>
                <w:b w:val="0"/>
                <w:color w:val="000000"/>
                <w:kern w:val="0"/>
                <w:sz w:val="24"/>
                <w:szCs w:val="24"/>
                <w:u w:val="none" w:color="auto"/>
                <w:lang w:val="en-US" w:eastAsia="zh-CN"/>
              </w:rPr>
              <w:t>处置</w:t>
            </w:r>
            <w:r>
              <w:rPr>
                <w:rFonts w:hint="eastAsia" w:ascii="仿宋" w:hAnsi="仿宋" w:eastAsia="仿宋" w:cs="仿宋"/>
                <w:b w:val="0"/>
                <w:color w:val="000000"/>
                <w:kern w:val="0"/>
                <w:sz w:val="24"/>
                <w:szCs w:val="24"/>
                <w:u w:val="none" w:color="auto"/>
              </w:rPr>
              <w:t>严格履行审批手续，并按时完整移交实物。</w:t>
            </w:r>
          </w:p>
        </w:tc>
        <w:tc>
          <w:tcPr>
            <w:tcW w:w="1883" w:type="pct"/>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pPr>
              <w:widowControl/>
              <w:jc w:val="left"/>
              <w:rPr>
                <w:rFonts w:hint="eastAsia" w:ascii="仿宋" w:hAnsi="仿宋" w:eastAsia="仿宋" w:cs="仿宋"/>
                <w:b w:val="0"/>
                <w:color w:val="000000"/>
                <w:kern w:val="0"/>
                <w:sz w:val="24"/>
                <w:szCs w:val="24"/>
                <w:u w:val="none" w:color="auto"/>
              </w:rPr>
            </w:pPr>
            <w:r>
              <w:rPr>
                <w:rFonts w:hint="eastAsia" w:ascii="仿宋" w:hAnsi="仿宋" w:eastAsia="仿宋" w:cs="仿宋"/>
                <w:b w:val="0"/>
                <w:color w:val="000000"/>
                <w:kern w:val="0"/>
                <w:sz w:val="24"/>
                <w:szCs w:val="24"/>
                <w:u w:val="none" w:color="auto"/>
              </w:rPr>
              <w:t>未移交实物扣3分；移交了实物，但实物不完整，擅自拆御零配件扣2分。</w:t>
            </w:r>
          </w:p>
        </w:tc>
        <w:tc>
          <w:tcPr>
            <w:tcW w:w="547" w:type="pct"/>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pPr>
              <w:widowControl/>
              <w:jc w:val="left"/>
              <w:rPr>
                <w:rFonts w:hint="eastAsia" w:ascii="仿宋" w:hAnsi="仿宋" w:eastAsia="仿宋" w:cs="仿宋"/>
                <w:b w:val="0"/>
                <w:color w:val="000000"/>
                <w:kern w:val="0"/>
                <w:sz w:val="24"/>
                <w:szCs w:val="24"/>
                <w:u w:val="none" w:color="auto"/>
              </w:rPr>
            </w:pPr>
          </w:p>
        </w:tc>
      </w:tr>
      <w:tr>
        <w:tblPrEx>
          <w:tblCellMar>
            <w:top w:w="0" w:type="dxa"/>
            <w:left w:w="0" w:type="dxa"/>
            <w:bottom w:w="0" w:type="dxa"/>
            <w:right w:w="0" w:type="dxa"/>
          </w:tblCellMar>
        </w:tblPrEx>
        <w:trPr>
          <w:trHeight w:val="526" w:hRule="atLeast"/>
          <w:jc w:val="center"/>
        </w:trPr>
        <w:tc>
          <w:tcPr>
            <w:tcW w:w="2569"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80" w:lineRule="atLeast"/>
              <w:jc w:val="center"/>
              <w:rPr>
                <w:rFonts w:ascii="仿宋" w:hAnsi="仿宋" w:eastAsia="仿宋" w:cs="仿宋"/>
                <w:b w:val="0"/>
                <w:color w:val="000000"/>
                <w:spacing w:val="20"/>
                <w:kern w:val="0"/>
                <w:sz w:val="24"/>
                <w:szCs w:val="24"/>
                <w:u w:val="none" w:color="auto"/>
              </w:rPr>
            </w:pPr>
            <w:r>
              <w:rPr>
                <w:rFonts w:hint="eastAsia" w:ascii="仿宋" w:hAnsi="仿宋" w:eastAsia="仿宋" w:cs="仿宋"/>
                <w:b w:val="0"/>
                <w:color w:val="000000"/>
                <w:spacing w:val="20"/>
                <w:kern w:val="0"/>
                <w:sz w:val="24"/>
                <w:szCs w:val="24"/>
                <w:u w:val="none" w:color="auto"/>
              </w:rPr>
              <w:t>扣分合计</w:t>
            </w:r>
          </w:p>
        </w:tc>
        <w:tc>
          <w:tcPr>
            <w:tcW w:w="2430" w:type="pct"/>
            <w:gridSpan w:val="2"/>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pPr>
              <w:widowControl/>
              <w:spacing w:line="580" w:lineRule="atLeast"/>
              <w:jc w:val="center"/>
              <w:rPr>
                <w:rFonts w:ascii="仿宋" w:hAnsi="仿宋" w:eastAsia="仿宋" w:cs="仿宋"/>
                <w:b w:val="0"/>
                <w:color w:val="000000"/>
                <w:spacing w:val="20"/>
                <w:kern w:val="0"/>
                <w:sz w:val="24"/>
                <w:szCs w:val="24"/>
                <w:u w:val="none" w:color="auto"/>
              </w:rPr>
            </w:pPr>
          </w:p>
        </w:tc>
      </w:tr>
      <w:tr>
        <w:tblPrEx>
          <w:tblCellMar>
            <w:top w:w="0" w:type="dxa"/>
            <w:left w:w="0" w:type="dxa"/>
            <w:bottom w:w="0" w:type="dxa"/>
            <w:right w:w="0" w:type="dxa"/>
          </w:tblCellMar>
        </w:tblPrEx>
        <w:trPr>
          <w:trHeight w:val="526" w:hRule="atLeast"/>
          <w:jc w:val="center"/>
        </w:trPr>
        <w:tc>
          <w:tcPr>
            <w:tcW w:w="2569"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80" w:lineRule="atLeast"/>
              <w:jc w:val="center"/>
              <w:rPr>
                <w:rFonts w:ascii="仿宋" w:hAnsi="仿宋" w:eastAsia="仿宋" w:cs="仿宋"/>
                <w:b w:val="0"/>
                <w:color w:val="000000"/>
                <w:spacing w:val="20"/>
                <w:kern w:val="0"/>
                <w:sz w:val="24"/>
                <w:szCs w:val="24"/>
                <w:u w:val="none" w:color="auto"/>
              </w:rPr>
            </w:pPr>
            <w:r>
              <w:rPr>
                <w:rFonts w:hint="eastAsia" w:ascii="仿宋" w:hAnsi="仿宋" w:eastAsia="仿宋" w:cs="仿宋"/>
                <w:b w:val="0"/>
                <w:color w:val="000000"/>
                <w:spacing w:val="20"/>
                <w:kern w:val="0"/>
                <w:sz w:val="24"/>
                <w:szCs w:val="24"/>
                <w:u w:val="none" w:color="auto"/>
              </w:rPr>
              <w:t>实得合计</w:t>
            </w:r>
          </w:p>
        </w:tc>
        <w:tc>
          <w:tcPr>
            <w:tcW w:w="2430" w:type="pct"/>
            <w:gridSpan w:val="2"/>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pPr>
              <w:widowControl/>
              <w:spacing w:line="580" w:lineRule="atLeast"/>
              <w:jc w:val="center"/>
              <w:rPr>
                <w:rFonts w:ascii="仿宋" w:hAnsi="仿宋" w:eastAsia="仿宋" w:cs="仿宋"/>
                <w:b w:val="0"/>
                <w:color w:val="000000"/>
                <w:spacing w:val="20"/>
                <w:kern w:val="0"/>
                <w:sz w:val="24"/>
                <w:szCs w:val="24"/>
                <w:u w:val="none" w:color="auto"/>
              </w:rPr>
            </w:pPr>
          </w:p>
        </w:tc>
      </w:tr>
    </w:tbl>
    <w:p>
      <w:pPr>
        <w:widowControl/>
        <w:jc w:val="left"/>
        <w:rPr>
          <w:rFonts w:ascii="仿宋_GB2312" w:eastAsia="仿宋_GB2312"/>
          <w:sz w:val="32"/>
          <w:szCs w:val="32"/>
          <w:u w:val="none" w:color="auto"/>
        </w:rPr>
      </w:pPr>
    </w:p>
    <w:sectPr>
      <w:headerReference r:id="rId5" w:type="default"/>
      <w:footerReference r:id="rId6" w:type="default"/>
      <w:pgSz w:w="16838" w:h="11906" w:orient="landscape"/>
      <w:pgMar w:top="1134" w:right="1134" w:bottom="1134" w:left="1134"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4547"/>
      <w:rPr>
        <w:rFonts w:ascii="宋体" w:hAnsi="宋体" w:eastAsia="宋体" w:cs="宋体"/>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E82BA6"/>
    <w:multiLevelType w:val="singleLevel"/>
    <w:tmpl w:val="54E82BA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yMTIxMzBmMzE4YWExNzQzMmI5MzczZjRkMTMxZDgifQ=="/>
  </w:docVars>
  <w:rsids>
    <w:rsidRoot w:val="00CF546F"/>
    <w:rsid w:val="00020866"/>
    <w:rsid w:val="000C7FCF"/>
    <w:rsid w:val="000D1770"/>
    <w:rsid w:val="0010613E"/>
    <w:rsid w:val="00107F45"/>
    <w:rsid w:val="00117C8C"/>
    <w:rsid w:val="00155D36"/>
    <w:rsid w:val="00184B74"/>
    <w:rsid w:val="001C00E9"/>
    <w:rsid w:val="001E70B7"/>
    <w:rsid w:val="001F6366"/>
    <w:rsid w:val="002133A5"/>
    <w:rsid w:val="00476503"/>
    <w:rsid w:val="004A4ED5"/>
    <w:rsid w:val="005330CF"/>
    <w:rsid w:val="00611063"/>
    <w:rsid w:val="00665492"/>
    <w:rsid w:val="00686D98"/>
    <w:rsid w:val="006B476D"/>
    <w:rsid w:val="006B6EAE"/>
    <w:rsid w:val="006F47DA"/>
    <w:rsid w:val="007360D3"/>
    <w:rsid w:val="0077090D"/>
    <w:rsid w:val="007802FF"/>
    <w:rsid w:val="00793803"/>
    <w:rsid w:val="008673DF"/>
    <w:rsid w:val="00885843"/>
    <w:rsid w:val="008B7D8E"/>
    <w:rsid w:val="008E10DC"/>
    <w:rsid w:val="00957566"/>
    <w:rsid w:val="0098388D"/>
    <w:rsid w:val="009952A8"/>
    <w:rsid w:val="009D5D8F"/>
    <w:rsid w:val="00A15A5D"/>
    <w:rsid w:val="00A75ED1"/>
    <w:rsid w:val="00A97A46"/>
    <w:rsid w:val="00AE03AE"/>
    <w:rsid w:val="00B5489D"/>
    <w:rsid w:val="00BA71C8"/>
    <w:rsid w:val="00BB6DF9"/>
    <w:rsid w:val="00C00C8E"/>
    <w:rsid w:val="00C92246"/>
    <w:rsid w:val="00CE4C23"/>
    <w:rsid w:val="00CF546F"/>
    <w:rsid w:val="00CF5F43"/>
    <w:rsid w:val="00D077C7"/>
    <w:rsid w:val="00D44DB5"/>
    <w:rsid w:val="00DA757B"/>
    <w:rsid w:val="00DE1272"/>
    <w:rsid w:val="00E22B73"/>
    <w:rsid w:val="00E9254A"/>
    <w:rsid w:val="00F10E56"/>
    <w:rsid w:val="00F2636C"/>
    <w:rsid w:val="00F42DBF"/>
    <w:rsid w:val="00F436CB"/>
    <w:rsid w:val="00F62E8F"/>
    <w:rsid w:val="00FC3D50"/>
    <w:rsid w:val="00FE3F1C"/>
    <w:rsid w:val="014C6B51"/>
    <w:rsid w:val="014E6932"/>
    <w:rsid w:val="016A6FD7"/>
    <w:rsid w:val="01BC01E0"/>
    <w:rsid w:val="01D32DCE"/>
    <w:rsid w:val="024050BE"/>
    <w:rsid w:val="02525933"/>
    <w:rsid w:val="0263729D"/>
    <w:rsid w:val="05405522"/>
    <w:rsid w:val="0557339A"/>
    <w:rsid w:val="05A36F5B"/>
    <w:rsid w:val="05E97064"/>
    <w:rsid w:val="065B1053"/>
    <w:rsid w:val="074D53D1"/>
    <w:rsid w:val="08882B0F"/>
    <w:rsid w:val="095C7DBD"/>
    <w:rsid w:val="09B5606A"/>
    <w:rsid w:val="09BE0882"/>
    <w:rsid w:val="0A92205C"/>
    <w:rsid w:val="0AA0390A"/>
    <w:rsid w:val="0AC66260"/>
    <w:rsid w:val="0B626633"/>
    <w:rsid w:val="0C006F4E"/>
    <w:rsid w:val="0CEF0CD8"/>
    <w:rsid w:val="0CF526A9"/>
    <w:rsid w:val="0DD32BFE"/>
    <w:rsid w:val="0E034C9C"/>
    <w:rsid w:val="0E3E050D"/>
    <w:rsid w:val="0E63372C"/>
    <w:rsid w:val="0FEA2198"/>
    <w:rsid w:val="0FF02E93"/>
    <w:rsid w:val="10094945"/>
    <w:rsid w:val="1017042A"/>
    <w:rsid w:val="10497AE6"/>
    <w:rsid w:val="10A5238C"/>
    <w:rsid w:val="10E92A46"/>
    <w:rsid w:val="10FD7E68"/>
    <w:rsid w:val="117F482F"/>
    <w:rsid w:val="11D93FB8"/>
    <w:rsid w:val="11F0250D"/>
    <w:rsid w:val="11F12DFD"/>
    <w:rsid w:val="11F53D1B"/>
    <w:rsid w:val="125D3914"/>
    <w:rsid w:val="12611C85"/>
    <w:rsid w:val="12A21617"/>
    <w:rsid w:val="12BF3EDD"/>
    <w:rsid w:val="133D454B"/>
    <w:rsid w:val="143408F6"/>
    <w:rsid w:val="149A3AC9"/>
    <w:rsid w:val="1563369A"/>
    <w:rsid w:val="15AE34DE"/>
    <w:rsid w:val="16BD380F"/>
    <w:rsid w:val="16DA6555"/>
    <w:rsid w:val="170A76C1"/>
    <w:rsid w:val="170B2453"/>
    <w:rsid w:val="177857E8"/>
    <w:rsid w:val="17AF5C99"/>
    <w:rsid w:val="19923117"/>
    <w:rsid w:val="19E17FAF"/>
    <w:rsid w:val="19F17E3E"/>
    <w:rsid w:val="1ACB7AE2"/>
    <w:rsid w:val="1AE164C4"/>
    <w:rsid w:val="1B7B1E62"/>
    <w:rsid w:val="1BE51C24"/>
    <w:rsid w:val="1BFB3F2A"/>
    <w:rsid w:val="1C16002F"/>
    <w:rsid w:val="1C7B60E4"/>
    <w:rsid w:val="1CAA0778"/>
    <w:rsid w:val="1D156539"/>
    <w:rsid w:val="1D3A5FA0"/>
    <w:rsid w:val="1D40625F"/>
    <w:rsid w:val="1DD2442A"/>
    <w:rsid w:val="1E2E3249"/>
    <w:rsid w:val="1E7E3C6A"/>
    <w:rsid w:val="1E933293"/>
    <w:rsid w:val="1F6D0A2A"/>
    <w:rsid w:val="1F8C1B73"/>
    <w:rsid w:val="205002E8"/>
    <w:rsid w:val="21022930"/>
    <w:rsid w:val="210448FA"/>
    <w:rsid w:val="21A35AF3"/>
    <w:rsid w:val="22056B7C"/>
    <w:rsid w:val="222400A5"/>
    <w:rsid w:val="230705B7"/>
    <w:rsid w:val="23120E6D"/>
    <w:rsid w:val="23563407"/>
    <w:rsid w:val="23D20CE0"/>
    <w:rsid w:val="23F165F5"/>
    <w:rsid w:val="24635DDC"/>
    <w:rsid w:val="24676446"/>
    <w:rsid w:val="24681644"/>
    <w:rsid w:val="24844702"/>
    <w:rsid w:val="24B13267"/>
    <w:rsid w:val="24CA5E5B"/>
    <w:rsid w:val="253A33DC"/>
    <w:rsid w:val="254A2AF8"/>
    <w:rsid w:val="25A16D05"/>
    <w:rsid w:val="26047735"/>
    <w:rsid w:val="26221C7C"/>
    <w:rsid w:val="268F110A"/>
    <w:rsid w:val="27165388"/>
    <w:rsid w:val="27C35706"/>
    <w:rsid w:val="27EC7E96"/>
    <w:rsid w:val="27F136FF"/>
    <w:rsid w:val="2828534F"/>
    <w:rsid w:val="29D05CC2"/>
    <w:rsid w:val="29D44611"/>
    <w:rsid w:val="29DF03D4"/>
    <w:rsid w:val="29EF0632"/>
    <w:rsid w:val="29FF0355"/>
    <w:rsid w:val="2A6D5E75"/>
    <w:rsid w:val="2AB2429F"/>
    <w:rsid w:val="2B12230A"/>
    <w:rsid w:val="2BE85E65"/>
    <w:rsid w:val="2CD05FD9"/>
    <w:rsid w:val="2D1660E1"/>
    <w:rsid w:val="2D4A6776"/>
    <w:rsid w:val="2DAE695C"/>
    <w:rsid w:val="2DC44491"/>
    <w:rsid w:val="2E0A46C0"/>
    <w:rsid w:val="2E3103E9"/>
    <w:rsid w:val="2E3F76EE"/>
    <w:rsid w:val="2E864268"/>
    <w:rsid w:val="2EB5271D"/>
    <w:rsid w:val="2EE45D6B"/>
    <w:rsid w:val="2FC2354A"/>
    <w:rsid w:val="306F48DA"/>
    <w:rsid w:val="316311C9"/>
    <w:rsid w:val="325A081E"/>
    <w:rsid w:val="327A6B99"/>
    <w:rsid w:val="329D378B"/>
    <w:rsid w:val="32BF519C"/>
    <w:rsid w:val="32C0264B"/>
    <w:rsid w:val="339E298D"/>
    <w:rsid w:val="34D835A1"/>
    <w:rsid w:val="36067426"/>
    <w:rsid w:val="36394BEF"/>
    <w:rsid w:val="365C5769"/>
    <w:rsid w:val="36C475AF"/>
    <w:rsid w:val="373460D7"/>
    <w:rsid w:val="37C36BD9"/>
    <w:rsid w:val="37F60FE9"/>
    <w:rsid w:val="38233460"/>
    <w:rsid w:val="38756DE3"/>
    <w:rsid w:val="388867A3"/>
    <w:rsid w:val="3891486E"/>
    <w:rsid w:val="3A064DE8"/>
    <w:rsid w:val="3A4A561C"/>
    <w:rsid w:val="3B3B44B2"/>
    <w:rsid w:val="3B4F0A10"/>
    <w:rsid w:val="3BA1126C"/>
    <w:rsid w:val="3C0D22BA"/>
    <w:rsid w:val="3C3B5241"/>
    <w:rsid w:val="3C5E53AF"/>
    <w:rsid w:val="3C8747FC"/>
    <w:rsid w:val="3CC52D38"/>
    <w:rsid w:val="3DA768E2"/>
    <w:rsid w:val="3DDB052F"/>
    <w:rsid w:val="3DE4204E"/>
    <w:rsid w:val="3E79594E"/>
    <w:rsid w:val="3E9E25A5"/>
    <w:rsid w:val="3EE823B6"/>
    <w:rsid w:val="3EE85004"/>
    <w:rsid w:val="3F9B31E4"/>
    <w:rsid w:val="3FC512A1"/>
    <w:rsid w:val="3FD21D8B"/>
    <w:rsid w:val="3FD71DB9"/>
    <w:rsid w:val="40497C24"/>
    <w:rsid w:val="40F97454"/>
    <w:rsid w:val="411029F0"/>
    <w:rsid w:val="413A424B"/>
    <w:rsid w:val="41487374"/>
    <w:rsid w:val="41AE6491"/>
    <w:rsid w:val="42B4029B"/>
    <w:rsid w:val="431C0DEE"/>
    <w:rsid w:val="434A7328"/>
    <w:rsid w:val="439245E1"/>
    <w:rsid w:val="43A2534D"/>
    <w:rsid w:val="43DB20E4"/>
    <w:rsid w:val="44420AB1"/>
    <w:rsid w:val="445360A4"/>
    <w:rsid w:val="4577303D"/>
    <w:rsid w:val="459B4F7E"/>
    <w:rsid w:val="46130FB8"/>
    <w:rsid w:val="486C2C02"/>
    <w:rsid w:val="488E6B97"/>
    <w:rsid w:val="492102EB"/>
    <w:rsid w:val="49BD29A5"/>
    <w:rsid w:val="49E12059"/>
    <w:rsid w:val="49EB319A"/>
    <w:rsid w:val="49F44C5D"/>
    <w:rsid w:val="49F74E96"/>
    <w:rsid w:val="4AC01A52"/>
    <w:rsid w:val="4AD47C9E"/>
    <w:rsid w:val="4B7A73E4"/>
    <w:rsid w:val="4C194E4E"/>
    <w:rsid w:val="4C1C7221"/>
    <w:rsid w:val="4C1F4DF0"/>
    <w:rsid w:val="4D1D271C"/>
    <w:rsid w:val="4D3C79B4"/>
    <w:rsid w:val="4E34241C"/>
    <w:rsid w:val="4EB75301"/>
    <w:rsid w:val="4F697E9B"/>
    <w:rsid w:val="4FB07C14"/>
    <w:rsid w:val="4FBC7B12"/>
    <w:rsid w:val="50242014"/>
    <w:rsid w:val="502A1A0D"/>
    <w:rsid w:val="506F7733"/>
    <w:rsid w:val="50DC2BA7"/>
    <w:rsid w:val="50F10148"/>
    <w:rsid w:val="510D1231"/>
    <w:rsid w:val="51DB6702"/>
    <w:rsid w:val="51E211A6"/>
    <w:rsid w:val="51F95156"/>
    <w:rsid w:val="52293911"/>
    <w:rsid w:val="526014B1"/>
    <w:rsid w:val="526B3F2A"/>
    <w:rsid w:val="52CD24EF"/>
    <w:rsid w:val="5358625C"/>
    <w:rsid w:val="53591FD4"/>
    <w:rsid w:val="544148A2"/>
    <w:rsid w:val="54DC110F"/>
    <w:rsid w:val="551A6815"/>
    <w:rsid w:val="552419F1"/>
    <w:rsid w:val="555714B5"/>
    <w:rsid w:val="556E60E4"/>
    <w:rsid w:val="55BF2332"/>
    <w:rsid w:val="564E541D"/>
    <w:rsid w:val="566E5DAA"/>
    <w:rsid w:val="5712125B"/>
    <w:rsid w:val="588C69A8"/>
    <w:rsid w:val="58B303D9"/>
    <w:rsid w:val="59071A1F"/>
    <w:rsid w:val="5A2570B4"/>
    <w:rsid w:val="5A783F08"/>
    <w:rsid w:val="5AB521E6"/>
    <w:rsid w:val="5AFF11B3"/>
    <w:rsid w:val="5B283D1A"/>
    <w:rsid w:val="5BB57FC4"/>
    <w:rsid w:val="5C2C7702"/>
    <w:rsid w:val="5C5C7996"/>
    <w:rsid w:val="5C7E7D76"/>
    <w:rsid w:val="5CA5018C"/>
    <w:rsid w:val="5D8870EC"/>
    <w:rsid w:val="5DB9023F"/>
    <w:rsid w:val="5DF83CED"/>
    <w:rsid w:val="5E105508"/>
    <w:rsid w:val="5E233DFA"/>
    <w:rsid w:val="5EC73876"/>
    <w:rsid w:val="5EC74EA6"/>
    <w:rsid w:val="5F2B6F1B"/>
    <w:rsid w:val="5FB45890"/>
    <w:rsid w:val="5FD30C72"/>
    <w:rsid w:val="60681AA9"/>
    <w:rsid w:val="6081108F"/>
    <w:rsid w:val="60884D64"/>
    <w:rsid w:val="615F4C5A"/>
    <w:rsid w:val="61F83A02"/>
    <w:rsid w:val="62185627"/>
    <w:rsid w:val="625C6A19"/>
    <w:rsid w:val="6262250C"/>
    <w:rsid w:val="630160FD"/>
    <w:rsid w:val="637F7A10"/>
    <w:rsid w:val="63875604"/>
    <w:rsid w:val="63876A05"/>
    <w:rsid w:val="63CF467D"/>
    <w:rsid w:val="63D74F7B"/>
    <w:rsid w:val="640E2967"/>
    <w:rsid w:val="648A45FC"/>
    <w:rsid w:val="64A37553"/>
    <w:rsid w:val="66171FA7"/>
    <w:rsid w:val="663A7A43"/>
    <w:rsid w:val="66540B05"/>
    <w:rsid w:val="6699562F"/>
    <w:rsid w:val="676B3BCF"/>
    <w:rsid w:val="6796109C"/>
    <w:rsid w:val="67B94748"/>
    <w:rsid w:val="680622D3"/>
    <w:rsid w:val="682D7592"/>
    <w:rsid w:val="68461A4A"/>
    <w:rsid w:val="68823A1A"/>
    <w:rsid w:val="6884144A"/>
    <w:rsid w:val="68FF13D1"/>
    <w:rsid w:val="698F4E26"/>
    <w:rsid w:val="69A91168"/>
    <w:rsid w:val="6A344C99"/>
    <w:rsid w:val="6A350C4E"/>
    <w:rsid w:val="6B60619E"/>
    <w:rsid w:val="6B940F55"/>
    <w:rsid w:val="6BCA2429"/>
    <w:rsid w:val="6C6456F2"/>
    <w:rsid w:val="6D990979"/>
    <w:rsid w:val="6DC82850"/>
    <w:rsid w:val="6E52223D"/>
    <w:rsid w:val="6E770319"/>
    <w:rsid w:val="6EA72B4D"/>
    <w:rsid w:val="6F215871"/>
    <w:rsid w:val="6F2E01D1"/>
    <w:rsid w:val="6F4B2CC1"/>
    <w:rsid w:val="6F6E2E43"/>
    <w:rsid w:val="6F773AB6"/>
    <w:rsid w:val="6F8A5598"/>
    <w:rsid w:val="6FA91F9C"/>
    <w:rsid w:val="6FC96122"/>
    <w:rsid w:val="700A492A"/>
    <w:rsid w:val="70340AD4"/>
    <w:rsid w:val="706B5CC1"/>
    <w:rsid w:val="709E2E6E"/>
    <w:rsid w:val="714874B8"/>
    <w:rsid w:val="72C978E0"/>
    <w:rsid w:val="73682094"/>
    <w:rsid w:val="740A20F2"/>
    <w:rsid w:val="74406B6D"/>
    <w:rsid w:val="747C2D22"/>
    <w:rsid w:val="74BB4610"/>
    <w:rsid w:val="75313DC7"/>
    <w:rsid w:val="76B37913"/>
    <w:rsid w:val="77F05E5C"/>
    <w:rsid w:val="780C1DDF"/>
    <w:rsid w:val="784A337B"/>
    <w:rsid w:val="78F63C9E"/>
    <w:rsid w:val="794E7636"/>
    <w:rsid w:val="797F13B8"/>
    <w:rsid w:val="79B84193"/>
    <w:rsid w:val="7AC202DC"/>
    <w:rsid w:val="7AD647F1"/>
    <w:rsid w:val="7B0219CD"/>
    <w:rsid w:val="7BC05240"/>
    <w:rsid w:val="7BC167E5"/>
    <w:rsid w:val="7C1F571B"/>
    <w:rsid w:val="7C2B3C5E"/>
    <w:rsid w:val="7C7D2343"/>
    <w:rsid w:val="7C7E0D54"/>
    <w:rsid w:val="7C8C4729"/>
    <w:rsid w:val="7CC06294"/>
    <w:rsid w:val="7CC24456"/>
    <w:rsid w:val="7D36433B"/>
    <w:rsid w:val="7DC47A9D"/>
    <w:rsid w:val="7EA83C8C"/>
    <w:rsid w:val="7FC95C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autoRedefine/>
    <w:qFormat/>
    <w:uiPriority w:val="0"/>
    <w:pPr>
      <w:ind w:firstLine="420" w:firstLineChars="200"/>
    </w:pPr>
  </w:style>
  <w:style w:type="paragraph" w:styleId="3">
    <w:name w:val="annotation text"/>
    <w:basedOn w:val="1"/>
    <w:autoRedefine/>
    <w:semiHidden/>
    <w:unhideWhenUsed/>
    <w:qFormat/>
    <w:uiPriority w:val="99"/>
    <w:pPr>
      <w:jc w:val="left"/>
    </w:pPr>
  </w:style>
  <w:style w:type="paragraph" w:styleId="4">
    <w:name w:val="Balloon Text"/>
    <w:basedOn w:val="1"/>
    <w:link w:val="12"/>
    <w:autoRedefine/>
    <w:semiHidden/>
    <w:unhideWhenUsed/>
    <w:qFormat/>
    <w:uiPriority w:val="99"/>
    <w:rPr>
      <w:sz w:val="18"/>
      <w:szCs w:val="18"/>
    </w:rPr>
  </w:style>
  <w:style w:type="paragraph" w:styleId="5">
    <w:name w:val="footer"/>
    <w:basedOn w:val="1"/>
    <w:link w:val="15"/>
    <w:autoRedefine/>
    <w:unhideWhenUsed/>
    <w:qFormat/>
    <w:uiPriority w:val="99"/>
    <w:pPr>
      <w:tabs>
        <w:tab w:val="center" w:pos="4153"/>
        <w:tab w:val="right" w:pos="8306"/>
      </w:tabs>
      <w:snapToGrid w:val="0"/>
      <w:jc w:val="left"/>
    </w:pPr>
    <w:rPr>
      <w:sz w:val="18"/>
      <w:szCs w:val="18"/>
    </w:rPr>
  </w:style>
  <w:style w:type="paragraph" w:styleId="6">
    <w:name w:val="header"/>
    <w:basedOn w:val="1"/>
    <w:link w:val="14"/>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autoRedefine/>
    <w:semiHidden/>
    <w:unhideWhenUsed/>
    <w:qFormat/>
    <w:uiPriority w:val="99"/>
    <w:rPr>
      <w:color w:val="0000FF"/>
      <w:u w:val="single"/>
    </w:rPr>
  </w:style>
  <w:style w:type="character" w:styleId="11">
    <w:name w:val="Placeholder Text"/>
    <w:basedOn w:val="9"/>
    <w:autoRedefine/>
    <w:semiHidden/>
    <w:qFormat/>
    <w:uiPriority w:val="99"/>
    <w:rPr>
      <w:color w:val="808080"/>
    </w:rPr>
  </w:style>
  <w:style w:type="character" w:customStyle="1" w:styleId="12">
    <w:name w:val="批注框文本 字符"/>
    <w:basedOn w:val="9"/>
    <w:link w:val="4"/>
    <w:autoRedefine/>
    <w:semiHidden/>
    <w:qFormat/>
    <w:uiPriority w:val="99"/>
    <w:rPr>
      <w:rFonts w:ascii="Times New Roman" w:hAnsi="Times New Roman" w:eastAsia="宋体" w:cs="Times New Roman"/>
      <w:sz w:val="18"/>
      <w:szCs w:val="18"/>
    </w:rPr>
  </w:style>
  <w:style w:type="paragraph" w:customStyle="1" w:styleId="13">
    <w:name w:val="修订1"/>
    <w:autoRedefine/>
    <w:hidden/>
    <w:semiHidden/>
    <w:qFormat/>
    <w:uiPriority w:val="99"/>
    <w:rPr>
      <w:rFonts w:ascii="Times New Roman" w:hAnsi="Times New Roman" w:eastAsia="宋体" w:cs="Times New Roman"/>
      <w:kern w:val="2"/>
      <w:sz w:val="21"/>
      <w:szCs w:val="24"/>
      <w:lang w:val="en-US" w:eastAsia="zh-CN" w:bidi="ar-SA"/>
    </w:rPr>
  </w:style>
  <w:style w:type="character" w:customStyle="1" w:styleId="14">
    <w:name w:val="页眉 字符"/>
    <w:basedOn w:val="9"/>
    <w:link w:val="6"/>
    <w:autoRedefine/>
    <w:qFormat/>
    <w:uiPriority w:val="99"/>
    <w:rPr>
      <w:rFonts w:ascii="Times New Roman" w:hAnsi="Times New Roman" w:eastAsia="宋体" w:cs="Times New Roman"/>
      <w:kern w:val="2"/>
      <w:sz w:val="18"/>
      <w:szCs w:val="18"/>
    </w:rPr>
  </w:style>
  <w:style w:type="character" w:customStyle="1" w:styleId="15">
    <w:name w:val="页脚 字符"/>
    <w:basedOn w:val="9"/>
    <w:link w:val="5"/>
    <w:autoRedefine/>
    <w:qFormat/>
    <w:uiPriority w:val="99"/>
    <w:rPr>
      <w:rFonts w:ascii="Times New Roman" w:hAnsi="Times New Roman" w:eastAsia="宋体" w:cs="Times New Roman"/>
      <w:kern w:val="2"/>
      <w:sz w:val="18"/>
      <w:szCs w:val="18"/>
    </w:rPr>
  </w:style>
  <w:style w:type="table" w:customStyle="1" w:styleId="16">
    <w:name w:val="Table Normal"/>
    <w:basedOn w:val="7"/>
    <w:autoRedefine/>
    <w:qFormat/>
    <w:uiPriority w:val="0"/>
    <w:rPr>
      <w:rFonts w:eastAsia="Times New Roman"/>
    </w:rPr>
    <w:tblPr>
      <w:tblCellMar>
        <w:left w:w="0" w:type="dxa"/>
        <w:right w:w="0" w:type="dxa"/>
      </w:tblCellMar>
    </w:tblPr>
  </w:style>
  <w:style w:type="paragraph" w:customStyle="1" w:styleId="17">
    <w:name w:val="修订2"/>
    <w:autoRedefine/>
    <w:hidden/>
    <w:semiHidden/>
    <w:qFormat/>
    <w:uiPriority w:val="99"/>
    <w:rPr>
      <w:rFonts w:ascii="Times New Roman" w:hAnsi="Times New Roman" w:eastAsia="宋体" w:cs="Times New Roman"/>
      <w:kern w:val="2"/>
      <w:sz w:val="21"/>
      <w:szCs w:val="24"/>
      <w:lang w:val="en-US" w:eastAsia="zh-CN" w:bidi="ar-SA"/>
    </w:rPr>
  </w:style>
  <w:style w:type="character" w:customStyle="1" w:styleId="18">
    <w:name w:val="font41"/>
    <w:basedOn w:val="9"/>
    <w:autoRedefine/>
    <w:qFormat/>
    <w:uiPriority w:val="0"/>
    <w:rPr>
      <w:rFonts w:hint="default" w:ascii="Times New Roman" w:hAnsi="Times New Roman" w:cs="Times New Roman"/>
      <w:color w:val="000000"/>
      <w:sz w:val="21"/>
      <w:szCs w:val="21"/>
      <w:u w:val="none"/>
    </w:rPr>
  </w:style>
  <w:style w:type="character" w:customStyle="1" w:styleId="19">
    <w:name w:val="font21"/>
    <w:basedOn w:val="9"/>
    <w:autoRedefine/>
    <w:qFormat/>
    <w:uiPriority w:val="0"/>
    <w:rPr>
      <w:rFonts w:hint="eastAsia" w:ascii="宋体" w:hAnsi="宋体" w:eastAsia="宋体" w:cs="宋体"/>
      <w:color w:val="000000"/>
      <w:sz w:val="21"/>
      <w:szCs w:val="21"/>
      <w:u w:val="none"/>
    </w:rPr>
  </w:style>
  <w:style w:type="paragraph" w:customStyle="1" w:styleId="20">
    <w:name w:val="Table Text"/>
    <w:basedOn w:val="1"/>
    <w:autoRedefine/>
    <w:semiHidden/>
    <w:qFormat/>
    <w:uiPriority w:val="0"/>
    <w:rPr>
      <w:rFonts w:ascii="仿宋" w:hAnsi="仿宋" w:eastAsia="仿宋" w:cs="仿宋"/>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26</Pages>
  <Words>13775</Words>
  <Characters>14085</Characters>
  <Lines>106</Lines>
  <Paragraphs>29</Paragraphs>
  <TotalTime>241</TotalTime>
  <ScaleCrop>false</ScaleCrop>
  <LinksUpToDate>false</LinksUpToDate>
  <CharactersWithSpaces>14268</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2018-10-09T06:41:00Z</dcterms:created>
  <dc:creator>admin</dc:creator>
  <cp:lastModifiedBy>吴芳</cp:lastModifiedBy>
  <cp:lastPrinted>2024-11-29T04:00:55Z</cp:lastPrinted>
  <dcterms:modified xsi:type="dcterms:W3CDTF">2024-11-29T04:01:00Z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A51CB663ED754451BDFB12F43D5994C5_13</vt:lpwstr>
  </property>
</Properties>
</file>